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1129030" cy="902970"/>
            <wp:effectExtent l="0" t="0" r="0" b="0"/>
            <wp:docPr id="2" name="图片 2" descr="logo-无背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logo-无背景"/>
                    <pic:cNvPicPr>
                      <a:picLocks noChangeAspect="1"/>
                    </pic:cNvPicPr>
                  </pic:nvPicPr>
                  <pic:blipFill>
                    <a:blip r:embed="rId4"/>
                    <a:srcRect l="2071" t="15879" r="3505" b="8603"/>
                    <a:stretch>
                      <a:fillRect/>
                    </a:stretch>
                  </pic:blipFill>
                  <pic:spPr>
                    <a:xfrm>
                      <a:off x="0" y="0"/>
                      <a:ext cx="112903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="宋体"/>
          <w:sz w:val="52"/>
          <w:szCs w:val="52"/>
          <w:lang w:val="en-US" w:eastAsia="zh-CN"/>
        </w:rPr>
      </w:pPr>
      <w:bookmarkStart w:id="0" w:name="_GoBack"/>
      <w:bookmarkEnd w:id="0"/>
      <w:r>
        <w:rPr>
          <w:rFonts w:hint="eastAsia"/>
          <w:sz w:val="52"/>
          <w:szCs w:val="52"/>
          <w:lang w:val="en-US" w:eastAsia="zh-CN"/>
        </w:rPr>
        <w:t>Trouble Shooting</w:t>
      </w:r>
    </w:p>
    <w:tbl>
      <w:tblPr>
        <w:tblStyle w:val="2"/>
        <w:tblW w:w="8678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3"/>
        <w:gridCol w:w="2786"/>
        <w:gridCol w:w="41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Cambria" w:hAnsi="Cambria" w:eastAsia="Cambria" w:cs="Cambr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Problem</w:t>
            </w: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Cause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Cambria" w:hAnsi="Cambria" w:eastAsia="Cambria" w:cs="Cambr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Recommendation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1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Fluorescence intensity varies.</w:t>
            </w: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Some of the reagent is still in the upper part of the microwell or an air bubble is trapped in the microwell.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Repeat centrifugation, but allow sufficient centrifugation time so all reagent is at the bottom of the microwell and air bubbles are expelled.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Skin oils or dirt on the surface of the microwell plate.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Always wear gloves when handling the multiwell plate.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1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Fluorescence intensity is very low.</w:t>
            </w: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 concentration or deterioration of dyes in the reaction mixtures because dye was not stored properly.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4"/>
                <w:rFonts w:hint="default" w:ascii="Cambria" w:hAnsi="Cambria" w:cs="Cambria"/>
                <w:sz w:val="24"/>
                <w:szCs w:val="24"/>
                <w:lang w:val="en-US" w:eastAsia="zh-CN" w:bidi="ar"/>
              </w:rPr>
              <w:t>K</w:t>
            </w: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eep dye-labeled reagents away from light.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Store the reagents at -15 to -25°C and avoid repeated freezing and thawing.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Poor PCR efficiency (reaction conditions not optimized).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Always run a positive control along with your samples.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DNA is degraded during isolation or improper storage.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If possible, check DNA quality.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Store DNA samples at -15 to -25°C.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Pipetting errors and/or omitted reagents.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Check for missing reagents.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Check the pipetting procedure.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Impure sample material inhibits reaction.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Dilute sample 1:10 and repeat the analysis.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Negative control sample gives a positive signal.</w:t>
            </w: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default" w:ascii="Cambria" w:hAnsi="Cambria" w:cs="Cambria"/>
                <w:sz w:val="24"/>
                <w:szCs w:val="24"/>
                <w:lang w:val="en-US" w:eastAsia="zh-CN" w:bidi="ar"/>
              </w:rPr>
              <w:t>Contamination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Remake all critical reaction mixes. Be sure to use special pre-PCR setup working areas.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Slope for the standardcurve is outside the typical range, or R</w:t>
            </w:r>
            <w:r>
              <w:rPr>
                <w:rStyle w:val="5"/>
                <w:rFonts w:hint="default" w:ascii="Cambria" w:hAnsi="Cambria" w:cs="Cambria"/>
                <w:sz w:val="24"/>
                <w:szCs w:val="24"/>
                <w:lang w:val="en-US" w:eastAsia="zh-CN" w:bidi="ar"/>
              </w:rPr>
              <w:t>2</w:t>
            </w:r>
            <w:r>
              <w:rPr>
                <w:rStyle w:val="6"/>
                <w:rFonts w:hint="default" w:ascii="Cambria" w:hAnsi="Cambria" w:cs="Cambria"/>
                <w:sz w:val="24"/>
                <w:szCs w:val="24"/>
                <w:lang w:val="en-US" w:eastAsia="zh-CN" w:bidi="ar"/>
              </w:rPr>
              <w:t xml:space="preserve"> value is significanthless than 0.99</w:t>
            </w: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When applying detectors for standards, the Task and Quantity were applied to the wrong detector.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The incorrect Quantity wasentered.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Adjust baseline settings.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Poor standard curve preparation technique (forgot to mix,inaccurate pipetting)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 the SoS sofware, from the plate document,double-click a well containing a DNA standard toview the Well lnspector.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Ensure that the correct Task and Quantity are2applled to the correct detector, then reanakzeCompare std curve statistics using autobaseline omanual baseline. The upper limit of the manualbaseline setting must be 2 cycles before uptick inamplification. Verify in Rn vs c, linear view.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0" w:hRule="atLeast"/>
        </w:trPr>
        <w:tc>
          <w:tcPr>
            <w:tcW w:w="1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Δ Rn and Ct values are inconsistent with replicates</w:t>
            </w: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Evaporation of reaction mixture from some wells occurred because the optical adhesive cover was not correctly sealed to the reaction plate or due to over-drying the eluates in PrepSEQ™.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5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Select the Component tab. Confirm that affected wells generated significantly less fluorescence than unaffected replicates.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5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Check the amount of solution in each well of the reaction plate. Confirm that the wells affected by evaporation contained less solution than unaffected</w:t>
            </w:r>
            <w:r>
              <w:rPr>
                <w:rFonts w:hint="eastAsia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wells, and corresponded with the inconsistent results.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5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For subsequent runs, ensure that the optical adhesive cover is correctly sealed to the reaction plate.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</w:trPr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Incorrect volume of PCR reaction mix was added to some reactions.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6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Select the Component tab. Confirm that affected wells generated significantly less fluorescence than unaffected replicates.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6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Select the Spectra tab. Confirm that the wells with the incorrect volume of PCR reaction mix generated significantly different amounts of fluorescence than the unaffected wells.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6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For subsequent runs, ensure the correct volume of PCR reaction mix.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Jagged amplification plots</w:t>
            </w: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Weak lamp or incorrect replacement.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Replace the lamp or ensure that the existing replacement is correct.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 defined amplification plots</w:t>
            </w: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 incorrect detector was selected on the amplification plot.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or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 incorrect detector was applied to the reactions when setting up the plate document.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7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Ensure that the correct detector was selected on the amplification plot.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7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If the correct detector was not selected, then in the plate document, double-click a well to view the Well Inspector, verify that the detector settings are correct, and reanalyze.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Abnormal ΔRn values or negative ΔRn values</w:t>
            </w: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Incorrect passive reference was selected when setting up the plate document.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8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From the plate document, double-click a well to view the Well Inspector.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8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Ensure that ROX™ dye was selected as the Passive Reference.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atLeast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Standard curve assays is outside of the 90–110% efficiency range</w:t>
            </w: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Incomplete vortexing of low level standards.</w:t>
            </w:r>
          </w:p>
        </w:tc>
        <w:tc>
          <w:tcPr>
            <w:tcW w:w="41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Repeat reactions, ensuring that samples and standards are vortexed for 15-30 seconds.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Wide variance of Ct values of  </w:t>
            </w:r>
            <w:r>
              <w:rPr>
                <w:rStyle w:val="7"/>
                <w:rFonts w:hint="default" w:ascii="Cambria" w:hAnsi="Cambria" w:cs="Cambria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Style w:val="6"/>
                <w:rFonts w:hint="default" w:ascii="Cambria" w:hAnsi="Cambria" w:cs="Cambria"/>
                <w:sz w:val="24"/>
                <w:szCs w:val="24"/>
                <w:lang w:val="en-US" w:eastAsia="zh-CN" w:bidi="ar"/>
              </w:rPr>
              <w:t>samples</w:t>
            </w: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Incomplete vortexing of samples.</w:t>
            </w:r>
          </w:p>
        </w:tc>
        <w:tc>
          <w:tcPr>
            <w:tcW w:w="4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The Ct Values of the startand curve is is abnormal</w:t>
            </w: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The disinfectant affected the PCR amplification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Do not use disinfectants during Sample preparation experiments so as not to affect the results</w:t>
            </w:r>
            <w:r>
              <w:rPr>
                <w:rFonts w:hint="eastAsia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Poor extraction efficiency (low yields)</w:t>
            </w: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 Magnetic stand does not match.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Magnetic stand(Cat. No. M24040801) from Ducky Bio are recommended for better recovery rates.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2.The volume of positive control standard dilution to the test sample is less than the amount of DNA measured in the test sample without the addition of the DNA/RNA control.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Add a volume of positive control standard dilution to each test sample so that the total DNA/RNA amount is 2-10 times the amount of DNA/RNA measured in the test sample without the addition of the DNA/RNA control.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When removing the supernatant in the Bind the DNA step and Wash the DNA  step, the supernatant is not completely removed, especially the cap and wall of the tube.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In the process of removing the supernatant, do not take away the magnetic beads. </w:t>
            </w: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Be careful not to have any liquid residue on the cap and wall of the tube as well as the bottom of the tube.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The amount of pipette in the bead or sample is not accurate.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Votex them throughly, the appearance of the mixture should be homogeneous, especially the bottom sediment.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The Magnetic beads were frozen, or they were removed when the supernatant was removed.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If the magnetic beads have been frozen, it is recommended to contact Ducky for a new magnetic bead.</w:t>
            </w: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Be careful not to remove the magnetic beads while you're removing the supernatant.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Special sample type.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 suggest that you send the sample to us,  and  we would like to customize a new Sample Preparation Kit for your sample.</w:t>
            </w:r>
          </w:p>
        </w:tc>
      </w:tr>
    </w:tbl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26EDA0"/>
    <w:multiLevelType w:val="singleLevel"/>
    <w:tmpl w:val="B726EDA0"/>
    <w:lvl w:ilvl="0" w:tentative="0">
      <w:start w:val="1"/>
      <w:numFmt w:val="decimal"/>
      <w:suff w:val="nothing"/>
      <w:lvlText w:val="%1. 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1">
    <w:nsid w:val="BABD4BAD"/>
    <w:multiLevelType w:val="singleLevel"/>
    <w:tmpl w:val="BABD4BAD"/>
    <w:lvl w:ilvl="0" w:tentative="0">
      <w:start w:val="1"/>
      <w:numFmt w:val="decimal"/>
      <w:suff w:val="nothing"/>
      <w:lvlText w:val="%1. 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2">
    <w:nsid w:val="E2CEC1AA"/>
    <w:multiLevelType w:val="singleLevel"/>
    <w:tmpl w:val="E2CEC1AA"/>
    <w:lvl w:ilvl="0" w:tentative="0">
      <w:start w:val="1"/>
      <w:numFmt w:val="decimal"/>
      <w:suff w:val="nothing"/>
      <w:lvlText w:val="%1. 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3">
    <w:nsid w:val="F1820890"/>
    <w:multiLevelType w:val="singleLevel"/>
    <w:tmpl w:val="F1820890"/>
    <w:lvl w:ilvl="0" w:tentative="0">
      <w:start w:val="1"/>
      <w:numFmt w:val="decimal"/>
      <w:suff w:val="nothing"/>
      <w:lvlText w:val="%1. 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4">
    <w:nsid w:val="11782DE4"/>
    <w:multiLevelType w:val="singleLevel"/>
    <w:tmpl w:val="11782DE4"/>
    <w:lvl w:ilvl="0" w:tentative="0">
      <w:start w:val="1"/>
      <w:numFmt w:val="decimal"/>
      <w:suff w:val="nothing"/>
      <w:lvlText w:val="%1. 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5">
    <w:nsid w:val="3E7426E1"/>
    <w:multiLevelType w:val="singleLevel"/>
    <w:tmpl w:val="3E7426E1"/>
    <w:lvl w:ilvl="0" w:tentative="0">
      <w:start w:val="1"/>
      <w:numFmt w:val="decimal"/>
      <w:suff w:val="nothing"/>
      <w:lvlText w:val="%1. 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6">
    <w:nsid w:val="42F0F181"/>
    <w:multiLevelType w:val="singleLevel"/>
    <w:tmpl w:val="42F0F181"/>
    <w:lvl w:ilvl="0" w:tentative="0">
      <w:start w:val="1"/>
      <w:numFmt w:val="decimal"/>
      <w:suff w:val="nothing"/>
      <w:lvlText w:val="%1. 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7">
    <w:nsid w:val="7546B8B5"/>
    <w:multiLevelType w:val="singleLevel"/>
    <w:tmpl w:val="7546B8B5"/>
    <w:lvl w:ilvl="0" w:tentative="0">
      <w:start w:val="1"/>
      <w:numFmt w:val="decimal"/>
      <w:suff w:val="nothing"/>
      <w:lvlText w:val="%1. 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</w:num>
  <w:num w:numId="5">
    <w:abstractNumId w:val="1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0ODQ1ZDVlNmU2NjJiZDhjODdiMjdhYmRlNTQ1MmEifQ=="/>
  </w:docVars>
  <w:rsids>
    <w:rsidRoot w:val="00000000"/>
    <w:rsid w:val="3B6C6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autoRedefine/>
    <w:qFormat/>
    <w:uiPriority w:val="0"/>
    <w:rPr>
      <w:rFonts w:hint="default" w:ascii="Cambria" w:hAnsi="Cambria" w:eastAsia="Cambria" w:cs="Cambria"/>
      <w:color w:val="000000"/>
      <w:sz w:val="18"/>
      <w:szCs w:val="18"/>
      <w:u w:val="none"/>
    </w:rPr>
  </w:style>
  <w:style w:type="character" w:customStyle="1" w:styleId="5">
    <w:name w:val="font51"/>
    <w:basedOn w:val="3"/>
    <w:autoRedefine/>
    <w:qFormat/>
    <w:uiPriority w:val="0"/>
    <w:rPr>
      <w:rFonts w:hint="default" w:ascii="Cambria" w:hAnsi="Cambria" w:eastAsia="Cambria" w:cs="Cambria"/>
      <w:color w:val="000000"/>
      <w:sz w:val="22"/>
      <w:szCs w:val="22"/>
      <w:u w:val="none"/>
      <w:vertAlign w:val="superscript"/>
    </w:rPr>
  </w:style>
  <w:style w:type="character" w:customStyle="1" w:styleId="6">
    <w:name w:val="font41"/>
    <w:basedOn w:val="3"/>
    <w:autoRedefine/>
    <w:qFormat/>
    <w:uiPriority w:val="0"/>
    <w:rPr>
      <w:rFonts w:hint="default" w:ascii="Cambria" w:hAnsi="Cambria" w:eastAsia="Cambria" w:cs="Cambria"/>
      <w:color w:val="000000"/>
      <w:sz w:val="22"/>
      <w:szCs w:val="22"/>
      <w:u w:val="none"/>
    </w:rPr>
  </w:style>
  <w:style w:type="character" w:customStyle="1" w:styleId="7">
    <w:name w:val="font61"/>
    <w:basedOn w:val="3"/>
    <w:autoRedefine/>
    <w:qFormat/>
    <w:uiPriority w:val="0"/>
    <w:rPr>
      <w:rFonts w:hint="default" w:ascii="Cambria" w:hAnsi="Cambria" w:eastAsia="Cambria" w:cs="Cambria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2024-03-18T02:35:38Z</dcterms:created>
  <dc:creator>TK</dc:creator>
  <cp:lastModifiedBy>八九</cp:lastModifiedBy>
  <dcterms:modified xsi:type="dcterms:W3CDTF">2024-03-18T03:01:05Z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3627A3E7FC7343F385088DFE105F1EFB_12</vt:lpwstr>
  </property>
</Properties>
</file>