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r>
        <w:rPr>
          <w:rFonts w:hint="eastAsia" w:eastAsiaTheme="minorEastAsia"/>
          <w:lang w:eastAsia="zh-CN"/>
        </w:rPr>
        <w:drawing>
          <wp:inline distT="0" distB="0" distL="114300" distR="114300">
            <wp:extent cx="1028700" cy="843280"/>
            <wp:effectExtent l="0" t="0" r="7620" b="1016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
                    <pic:cNvPicPr>
                      <a:picLocks noChangeAspect="1"/>
                    </pic:cNvPicPr>
                  </pic:nvPicPr>
                  <pic:blipFill>
                    <a:blip r:embed="rId5"/>
                    <a:stretch>
                      <a:fillRect/>
                    </a:stretch>
                  </pic:blipFill>
                  <pic:spPr>
                    <a:xfrm>
                      <a:off x="0" y="0"/>
                      <a:ext cx="1028700" cy="843280"/>
                    </a:xfrm>
                    <a:prstGeom prst="rect">
                      <a:avLst/>
                    </a:prstGeom>
                  </pic:spPr>
                </pic:pic>
              </a:graphicData>
            </a:graphic>
          </wp:inline>
        </w:drawing>
      </w:r>
    </w:p>
    <w:p>
      <w:pPr>
        <w:tabs>
          <w:tab w:val="left" w:pos="2217"/>
        </w:tabs>
        <w:bidi w:val="0"/>
        <w:jc w:val="center"/>
        <w:rPr>
          <w:rFonts w:hint="default" w:ascii="Cambria" w:hAnsi="Cambria" w:cs="Cambria"/>
          <w:b/>
          <w:bCs/>
          <w:kern w:val="2"/>
          <w:sz w:val="36"/>
          <w:szCs w:val="36"/>
          <w:lang w:val="en-US" w:eastAsia="zh-CN" w:bidi="ar-SA"/>
        </w:rPr>
      </w:pPr>
      <w:r>
        <w:rPr>
          <w:rFonts w:hint="default" w:ascii="Cambria" w:hAnsi="Cambria" w:cs="Cambria"/>
          <w:b/>
          <w:bCs/>
          <w:kern w:val="2"/>
          <w:sz w:val="36"/>
          <w:szCs w:val="36"/>
          <w:lang w:val="en-US" w:eastAsia="zh-CN" w:bidi="ar-SA"/>
        </w:rPr>
        <w:t>Safety Data Sheet</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1: Identification of the substance/mixture and of the company/undertaking</w:t>
            </w:r>
          </w:p>
        </w:tc>
      </w:tr>
    </w:tbl>
    <w:p>
      <w:pPr>
        <w:tabs>
          <w:tab w:val="left" w:pos="2217"/>
        </w:tabs>
        <w:bidi w:val="0"/>
        <w:jc w:val="left"/>
        <w:rPr>
          <w:rFonts w:hint="default" w:ascii="Cambria" w:hAnsi="Cambria" w:eastAsia="宋体" w:cs="Cambria"/>
          <w:b/>
          <w:bCs/>
          <w:sz w:val="18"/>
          <w:szCs w:val="18"/>
          <w:highlight w:val="none"/>
        </w:rPr>
      </w:pPr>
      <w:r>
        <w:rPr>
          <w:rFonts w:hint="default" w:ascii="Cambria" w:hAnsi="Cambria" w:eastAsia="宋体" w:cs="Cambria"/>
          <w:b/>
          <w:bCs/>
          <w:sz w:val="18"/>
          <w:szCs w:val="18"/>
          <w:highlight w:val="none"/>
        </w:rPr>
        <w:t>1.1 Product identifiers</w:t>
      </w:r>
    </w:p>
    <w:p>
      <w:pPr>
        <w:tabs>
          <w:tab w:val="left" w:pos="2217"/>
        </w:tabs>
        <w:bidi w:val="0"/>
        <w:jc w:val="left"/>
        <w:rPr>
          <w:rFonts w:hint="eastAsia" w:ascii="Cambria" w:hAnsi="Cambria" w:eastAsia="宋体" w:cs="Cambria"/>
          <w:b w:val="0"/>
          <w:bCs w:val="0"/>
          <w:sz w:val="18"/>
          <w:szCs w:val="18"/>
          <w:highlight w:val="none"/>
          <w:lang w:val="en-US" w:eastAsia="zh-CN"/>
        </w:rPr>
      </w:pPr>
      <w:r>
        <w:rPr>
          <w:rFonts w:hint="default" w:ascii="Cambria" w:hAnsi="Cambria" w:eastAsia="宋体" w:cs="Cambria"/>
          <w:b w:val="0"/>
          <w:bCs w:val="0"/>
          <w:sz w:val="18"/>
          <w:szCs w:val="18"/>
          <w:highlight w:val="none"/>
        </w:rPr>
        <w:t xml:space="preserve"> Product Name :</w:t>
      </w:r>
      <w:r>
        <w:rPr>
          <w:rFonts w:hint="eastAsia" w:ascii="Cambria" w:hAnsi="Cambria" w:eastAsia="宋体" w:cs="Cambria"/>
          <w:b w:val="0"/>
          <w:bCs w:val="0"/>
          <w:sz w:val="18"/>
          <w:szCs w:val="18"/>
          <w:highlight w:val="none"/>
          <w:lang w:val="en-US" w:eastAsia="zh-CN"/>
        </w:rPr>
        <w:t xml:space="preserve"> resDNASEQ CHO Residual DNA Quantitation kit</w:t>
      </w:r>
    </w:p>
    <w:p>
      <w:pPr>
        <w:tabs>
          <w:tab w:val="left" w:pos="2217"/>
        </w:tabs>
        <w:bidi w:val="0"/>
        <w:jc w:val="left"/>
        <w:rPr>
          <w:rFonts w:hint="eastAsia" w:ascii="Cambria" w:hAnsi="Cambria" w:eastAsia="宋体" w:cs="Cambria"/>
          <w:b w:val="0"/>
          <w:bCs w:val="0"/>
          <w:sz w:val="18"/>
          <w:szCs w:val="18"/>
          <w:highlight w:val="none"/>
          <w:lang w:val="en-US" w:eastAsia="zh-CN"/>
        </w:rPr>
      </w:pPr>
      <w:r>
        <w:rPr>
          <w:rFonts w:hint="default" w:ascii="Cambria" w:hAnsi="Cambria" w:eastAsia="宋体" w:cs="Cambria"/>
          <w:b w:val="0"/>
          <w:bCs w:val="0"/>
          <w:sz w:val="18"/>
          <w:szCs w:val="18"/>
          <w:highlight w:val="none"/>
        </w:rPr>
        <w:t xml:space="preserve"> Product Number :</w:t>
      </w:r>
      <w:r>
        <w:rPr>
          <w:rFonts w:hint="eastAsia" w:ascii="Cambria" w:hAnsi="Cambria" w:eastAsia="宋体" w:cs="Cambria"/>
          <w:b w:val="0"/>
          <w:bCs w:val="0"/>
          <w:sz w:val="18"/>
          <w:szCs w:val="18"/>
          <w:highlight w:val="none"/>
          <w:lang w:val="en-US" w:eastAsia="zh-CN"/>
        </w:rPr>
        <w:t xml:space="preserve"> </w:t>
      </w:r>
      <w:bookmarkStart w:id="2" w:name="_GoBack"/>
      <w:bookmarkEnd w:id="2"/>
      <w:r>
        <w:rPr>
          <w:rFonts w:hint="eastAsia" w:ascii="Cambria" w:hAnsi="Cambria" w:eastAsia="宋体" w:cs="Cambria"/>
          <w:b w:val="0"/>
          <w:bCs w:val="0"/>
          <w:sz w:val="18"/>
          <w:szCs w:val="18"/>
          <w:highlight w:val="none"/>
          <w:lang w:val="en-US" w:eastAsia="zh-CN"/>
        </w:rPr>
        <w:t>D24011202</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1.</w:t>
      </w:r>
      <w:r>
        <w:rPr>
          <w:rFonts w:hint="eastAsia" w:ascii="Cambria" w:hAnsi="Cambria" w:eastAsia="宋体" w:cs="Cambria"/>
          <w:b/>
          <w:bCs/>
          <w:sz w:val="18"/>
          <w:szCs w:val="18"/>
          <w:lang w:val="en-US" w:eastAsia="zh-CN"/>
        </w:rPr>
        <w:t>2</w:t>
      </w:r>
      <w:r>
        <w:rPr>
          <w:rFonts w:hint="default" w:ascii="Cambria" w:hAnsi="Cambria" w:eastAsia="宋体" w:cs="Cambria"/>
          <w:b/>
          <w:bCs/>
          <w:sz w:val="18"/>
          <w:szCs w:val="18"/>
        </w:rPr>
        <w:t xml:space="preserve"> Details of the supplier of the safety data sheet</w:t>
      </w:r>
    </w:p>
    <w:p>
      <w:pPr>
        <w:tabs>
          <w:tab w:val="left" w:pos="2217"/>
        </w:tabs>
        <w:bidi w:val="0"/>
        <w:jc w:val="left"/>
        <w:rPr>
          <w:rFonts w:hint="default" w:ascii="Cambria" w:hAnsi="Cambria" w:eastAsia="宋体" w:cs="Cambria"/>
          <w:b w:val="0"/>
          <w:bCs w:val="0"/>
          <w:sz w:val="18"/>
          <w:szCs w:val="18"/>
        </w:rPr>
      </w:pPr>
      <w:r>
        <w:rPr>
          <w:rFonts w:hint="default" w:ascii="Cambria" w:hAnsi="Cambria" w:eastAsia="宋体" w:cs="Cambria"/>
          <w:b/>
          <w:bCs/>
          <w:sz w:val="18"/>
          <w:szCs w:val="18"/>
        </w:rPr>
        <w:t xml:space="preserve"> </w:t>
      </w:r>
      <w:r>
        <w:rPr>
          <w:rFonts w:hint="default" w:ascii="Cambria" w:hAnsi="Cambria" w:eastAsia="宋体" w:cs="Cambria"/>
          <w:b w:val="0"/>
          <w:bCs w:val="0"/>
          <w:sz w:val="18"/>
          <w:szCs w:val="18"/>
        </w:rPr>
        <w:t>Company : Ducky Biotechnology Co., Ltd.</w:t>
      </w:r>
    </w:p>
    <w:p>
      <w:pPr>
        <w:tabs>
          <w:tab w:val="left" w:pos="2217"/>
        </w:tabs>
        <w:bidi w:val="0"/>
        <w:jc w:val="left"/>
        <w:rPr>
          <w:rFonts w:hint="default" w:ascii="Cambria" w:hAnsi="Cambria" w:eastAsia="宋体" w:cs="Cambria"/>
          <w:b w:val="0"/>
          <w:bCs w:val="0"/>
          <w:sz w:val="18"/>
          <w:szCs w:val="18"/>
        </w:rPr>
      </w:pPr>
      <w:r>
        <w:rPr>
          <w:rFonts w:hint="default" w:ascii="Cambria" w:hAnsi="Cambria" w:eastAsia="宋体" w:cs="Cambria"/>
          <w:b w:val="0"/>
          <w:bCs w:val="0"/>
          <w:sz w:val="18"/>
          <w:szCs w:val="18"/>
        </w:rPr>
        <w:t xml:space="preserve"> Address : 39 Gan Jiang Road，Guancheng， Zhengzhou, China</w:t>
      </w:r>
    </w:p>
    <w:p>
      <w:pPr>
        <w:tabs>
          <w:tab w:val="left" w:pos="2217"/>
        </w:tabs>
        <w:bidi w:val="0"/>
        <w:jc w:val="left"/>
        <w:rPr>
          <w:rFonts w:hint="eastAsia" w:ascii="Cambria" w:hAnsi="Cambria" w:eastAsia="宋体" w:cs="Cambria"/>
          <w:b w:val="0"/>
          <w:bCs w:val="0"/>
          <w:sz w:val="18"/>
          <w:szCs w:val="18"/>
          <w:lang w:val="en-US" w:eastAsia="zh-CN"/>
        </w:rPr>
      </w:pPr>
      <w:r>
        <w:rPr>
          <w:rFonts w:hint="default" w:ascii="Cambria" w:hAnsi="Cambria" w:eastAsia="宋体" w:cs="Cambria"/>
          <w:b w:val="0"/>
          <w:bCs w:val="0"/>
          <w:sz w:val="18"/>
          <w:szCs w:val="18"/>
        </w:rPr>
        <w:t xml:space="preserve"> Tel:</w:t>
      </w:r>
      <w:r>
        <w:rPr>
          <w:rFonts w:hint="eastAsia" w:ascii="Cambria" w:hAnsi="Cambria" w:eastAsia="宋体" w:cs="Cambria"/>
          <w:b w:val="0"/>
          <w:bCs w:val="0"/>
          <w:sz w:val="18"/>
          <w:szCs w:val="18"/>
          <w:lang w:val="en-US" w:eastAsia="zh-CN"/>
        </w:rPr>
        <w:t xml:space="preserve"> </w:t>
      </w:r>
      <w:bookmarkStart w:id="0" w:name="OLE_LINK4"/>
      <w:r>
        <w:rPr>
          <w:rFonts w:hint="eastAsia" w:ascii="Cambria" w:hAnsi="Cambria" w:eastAsia="宋体" w:cs="Cambria"/>
          <w:b w:val="0"/>
          <w:bCs w:val="0"/>
          <w:sz w:val="18"/>
          <w:szCs w:val="18"/>
          <w:lang w:val="en-US" w:eastAsia="zh-CN"/>
        </w:rPr>
        <w:t>+8618039226538</w:t>
      </w:r>
      <w:bookmarkEnd w:id="0"/>
      <w:r>
        <w:rPr>
          <w:rFonts w:hint="default" w:ascii="Cambria" w:hAnsi="Cambria" w:eastAsia="宋体" w:cs="Cambria"/>
          <w:b w:val="0"/>
          <w:bCs w:val="0"/>
          <w:sz w:val="18"/>
          <w:szCs w:val="18"/>
        </w:rPr>
        <w:t xml:space="preserv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1.</w:t>
      </w:r>
      <w:r>
        <w:rPr>
          <w:rFonts w:hint="eastAsia" w:ascii="Cambria" w:hAnsi="Cambria" w:eastAsia="宋体" w:cs="Cambria"/>
          <w:b/>
          <w:bCs/>
          <w:sz w:val="18"/>
          <w:szCs w:val="18"/>
          <w:lang w:val="en-US" w:eastAsia="zh-CN"/>
        </w:rPr>
        <w:t>3</w:t>
      </w:r>
      <w:r>
        <w:rPr>
          <w:rFonts w:hint="default" w:ascii="Cambria" w:hAnsi="Cambria" w:eastAsia="宋体" w:cs="Cambria"/>
          <w:b/>
          <w:bCs/>
          <w:sz w:val="18"/>
          <w:szCs w:val="18"/>
        </w:rPr>
        <w:t xml:space="preserve"> 24 hour Emergency Response for Hazardous Materials [or Dangerous Good] Incident. Spill, Leak, Fire, Exposure, or Accident.</w:t>
      </w:r>
    </w:p>
    <w:p>
      <w:pPr>
        <w:tabs>
          <w:tab w:val="left" w:pos="2217"/>
        </w:tabs>
        <w:bidi w:val="0"/>
        <w:jc w:val="left"/>
        <w:rPr>
          <w:rFonts w:hint="default" w:ascii="Cambria" w:hAnsi="Cambria" w:eastAsia="宋体" w:cs="Cambria"/>
          <w:b w:val="0"/>
          <w:bCs w:val="0"/>
          <w:sz w:val="18"/>
          <w:szCs w:val="18"/>
        </w:rPr>
      </w:pPr>
      <w:r>
        <w:rPr>
          <w:rFonts w:hint="default" w:ascii="Cambria" w:hAnsi="Cambria" w:eastAsia="宋体" w:cs="Cambria"/>
          <w:b w:val="0"/>
          <w:bCs w:val="0"/>
          <w:sz w:val="18"/>
          <w:szCs w:val="18"/>
        </w:rPr>
        <w:t xml:space="preserve"> Emergency phone number : </w:t>
      </w:r>
      <w:r>
        <w:rPr>
          <w:rFonts w:hint="eastAsia" w:ascii="Cambria" w:hAnsi="Cambria" w:eastAsia="宋体" w:cs="Cambria"/>
          <w:b w:val="0"/>
          <w:bCs w:val="0"/>
          <w:sz w:val="18"/>
          <w:szCs w:val="18"/>
          <w:lang w:val="en-US" w:eastAsia="zh-CN"/>
        </w:rPr>
        <w:t>+8618039226538</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Country Specific Emergency Number (if available):</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For research use only. Not for use in diagnostic procedures</w:t>
      </w:r>
    </w:p>
    <w:p>
      <w:pPr>
        <w:tabs>
          <w:tab w:val="left" w:pos="2217"/>
        </w:tabs>
        <w:bidi w:val="0"/>
        <w:jc w:val="center"/>
        <w:rPr>
          <w:rFonts w:hint="default" w:ascii="宋体" w:hAnsi="宋体" w:eastAsia="宋体" w:cs="宋体"/>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2: Hazards identification</w:t>
            </w:r>
          </w:p>
        </w:tc>
      </w:tr>
    </w:tbl>
    <w:p>
      <w:pPr>
        <w:tabs>
          <w:tab w:val="left" w:pos="2217"/>
        </w:tabs>
        <w:bidi w:val="0"/>
        <w:jc w:val="left"/>
        <w:rPr>
          <w:rFonts w:hint="default" w:ascii="Cambria" w:hAnsi="Cambria" w:eastAsia="宋体" w:cs="Cambria"/>
          <w:b/>
          <w:bCs/>
          <w:sz w:val="18"/>
          <w:szCs w:val="18"/>
          <w:u w:val="single"/>
        </w:rPr>
      </w:pPr>
      <w:r>
        <w:rPr>
          <w:rFonts w:hint="default" w:ascii="Cambria" w:hAnsi="Cambria" w:eastAsia="宋体" w:cs="Cambria"/>
          <w:b/>
          <w:bCs/>
          <w:sz w:val="18"/>
          <w:szCs w:val="18"/>
          <w:u w:val="single"/>
        </w:rPr>
        <w:t xml:space="preserve">GHS Classification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Signal Word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None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Hazard pictograms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None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Health hazards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Hazardous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Physical hazards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Not Hazardous</w:t>
      </w: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Environmental hazards</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Hazardous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Hazard Statements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Precautionary Statements</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Prevention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Response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Storage</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Disposal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u w:val="single"/>
        </w:rPr>
        <w:t>Other hazards</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Not Applicable</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HMIS</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tcPr>
          <w:p>
            <w:pPr>
              <w:bidi w:val="0"/>
              <w:jc w:val="center"/>
              <w:rPr>
                <w:rFonts w:hint="default" w:ascii="Cambria" w:hAnsi="Cambria" w:eastAsia="宋体" w:cs="Cambria"/>
                <w:sz w:val="18"/>
                <w:szCs w:val="18"/>
                <w:vertAlign w:val="baseline"/>
              </w:rPr>
            </w:pPr>
            <w:r>
              <w:rPr>
                <w:rFonts w:hint="default" w:ascii="Cambria" w:hAnsi="Cambria" w:eastAsia="宋体" w:cs="Cambria"/>
                <w:sz w:val="18"/>
                <w:szCs w:val="18"/>
              </w:rPr>
              <w:t>Health</w:t>
            </w:r>
          </w:p>
        </w:tc>
        <w:tc>
          <w:tcPr>
            <w:tcW w:w="4261" w:type="dxa"/>
          </w:tcPr>
          <w:p>
            <w:pPr>
              <w:tabs>
                <w:tab w:val="left" w:pos="2217"/>
              </w:tabs>
              <w:bidi w:val="0"/>
              <w:jc w:val="center"/>
              <w:rPr>
                <w:rFonts w:hint="default" w:ascii="Cambria" w:hAnsi="Cambria" w:eastAsia="宋体" w:cs="Cambria"/>
                <w:sz w:val="18"/>
                <w:szCs w:val="18"/>
                <w:vertAlign w:val="baseline"/>
                <w:lang w:val="en-US" w:eastAsia="zh-CN"/>
              </w:rPr>
            </w:pPr>
            <w:r>
              <w:rPr>
                <w:rFonts w:hint="default" w:ascii="Cambria" w:hAnsi="Cambria" w:eastAsia="宋体" w:cs="Cambria"/>
                <w:sz w:val="18"/>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bidi w:val="0"/>
              <w:jc w:val="center"/>
              <w:rPr>
                <w:rFonts w:hint="default" w:ascii="Cambria" w:hAnsi="Cambria" w:eastAsia="宋体" w:cs="Cambria"/>
                <w:sz w:val="18"/>
                <w:szCs w:val="18"/>
                <w:vertAlign w:val="baseline"/>
              </w:rPr>
            </w:pPr>
            <w:r>
              <w:rPr>
                <w:rFonts w:hint="default" w:ascii="Cambria" w:hAnsi="Cambria" w:eastAsia="宋体" w:cs="Cambria"/>
                <w:sz w:val="18"/>
                <w:szCs w:val="18"/>
              </w:rPr>
              <w:t>Flammability</w:t>
            </w:r>
          </w:p>
        </w:tc>
        <w:tc>
          <w:tcPr>
            <w:tcW w:w="4261" w:type="dxa"/>
          </w:tcPr>
          <w:p>
            <w:pPr>
              <w:tabs>
                <w:tab w:val="left" w:pos="2217"/>
              </w:tabs>
              <w:bidi w:val="0"/>
              <w:jc w:val="center"/>
              <w:rPr>
                <w:rFonts w:hint="default" w:ascii="Cambria" w:hAnsi="Cambria" w:eastAsia="宋体" w:cs="Cambria"/>
                <w:sz w:val="18"/>
                <w:szCs w:val="18"/>
                <w:vertAlign w:val="baseline"/>
                <w:lang w:val="en-US" w:eastAsia="zh-CN"/>
              </w:rPr>
            </w:pPr>
            <w:r>
              <w:rPr>
                <w:rFonts w:hint="default" w:ascii="Cambria" w:hAnsi="Cambria" w:eastAsia="宋体" w:cs="Cambria"/>
                <w:sz w:val="18"/>
                <w:szCs w:val="18"/>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bidi w:val="0"/>
              <w:jc w:val="center"/>
              <w:rPr>
                <w:rFonts w:hint="default" w:ascii="Cambria" w:hAnsi="Cambria" w:eastAsia="宋体" w:cs="Cambria"/>
                <w:sz w:val="18"/>
                <w:szCs w:val="18"/>
                <w:vertAlign w:val="baseline"/>
              </w:rPr>
            </w:pPr>
            <w:r>
              <w:rPr>
                <w:rFonts w:hint="default" w:ascii="Cambria" w:hAnsi="Cambria" w:eastAsia="宋体" w:cs="Cambria"/>
                <w:sz w:val="18"/>
                <w:szCs w:val="18"/>
              </w:rPr>
              <w:t>Reactivity</w:t>
            </w:r>
          </w:p>
        </w:tc>
        <w:tc>
          <w:tcPr>
            <w:tcW w:w="4261" w:type="dxa"/>
          </w:tcPr>
          <w:p>
            <w:pPr>
              <w:tabs>
                <w:tab w:val="left" w:pos="2217"/>
              </w:tabs>
              <w:bidi w:val="0"/>
              <w:jc w:val="center"/>
              <w:rPr>
                <w:rFonts w:hint="default" w:ascii="Cambria" w:hAnsi="Cambria" w:eastAsia="宋体" w:cs="Cambria"/>
                <w:sz w:val="18"/>
                <w:szCs w:val="18"/>
                <w:vertAlign w:val="baseline"/>
                <w:lang w:val="en-US" w:eastAsia="zh-CN"/>
              </w:rPr>
            </w:pPr>
            <w:r>
              <w:rPr>
                <w:rFonts w:hint="default" w:ascii="Cambria" w:hAnsi="Cambria" w:eastAsia="宋体" w:cs="Cambria"/>
                <w:sz w:val="18"/>
                <w:szCs w:val="18"/>
                <w:vertAlign w:val="baseline"/>
                <w:lang w:val="en-US" w:eastAsia="zh-CN"/>
              </w:rPr>
              <w:t>0</w:t>
            </w:r>
          </w:p>
        </w:tc>
      </w:tr>
    </w:tbl>
    <w:p>
      <w:pPr>
        <w:tabs>
          <w:tab w:val="left" w:pos="2217"/>
        </w:tabs>
        <w:bidi w:val="0"/>
        <w:jc w:val="center"/>
        <w:rPr>
          <w:rFonts w:ascii="宋体" w:hAnsi="宋体" w:eastAsia="宋体" w:cs="宋体"/>
          <w:sz w:val="18"/>
          <w:szCs w:val="18"/>
        </w:rPr>
      </w:pPr>
    </w:p>
    <w:p>
      <w:pPr>
        <w:tabs>
          <w:tab w:val="left" w:pos="2217"/>
        </w:tabs>
        <w:bidi w:val="0"/>
        <w:jc w:val="center"/>
        <w:rPr>
          <w:rFonts w:hint="default" w:ascii="宋体" w:hAnsi="宋体" w:eastAsia="宋体" w:cs="宋体"/>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 xml:space="preserve"> SECTION 3: Composition/information on ingredients</w:t>
            </w:r>
          </w:p>
        </w:tc>
      </w:tr>
    </w:tbl>
    <w:p>
      <w:pPr>
        <w:tabs>
          <w:tab w:val="left" w:pos="2217"/>
        </w:tabs>
        <w:bidi w:val="0"/>
        <w:jc w:val="center"/>
        <w:rPr>
          <w:rFonts w:hint="default" w:ascii="Cambria" w:hAnsi="Cambria" w:cs="Cambria"/>
          <w:kern w:val="2"/>
          <w:sz w:val="18"/>
          <w:szCs w:val="18"/>
          <w:lang w:val="en-US" w:eastAsia="zh-CN" w:bidi="ar-SA"/>
        </w:rPr>
      </w:pPr>
      <w:r>
        <w:rPr>
          <w:rFonts w:hint="default" w:ascii="Cambria" w:hAnsi="Cambria" w:eastAsia="宋体" w:cs="Cambria"/>
          <w:sz w:val="18"/>
          <w:szCs w:val="18"/>
        </w:rPr>
        <w:t>The product contains no substances which at their given concentration, are considered to be hazardous to health. We recommend handling all chemicals with caution.</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4: First aid measures</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Description of first aid measures</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02"/>
        <w:gridCol w:w="71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Skin contact</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Rinse skin with water. Immediate medical attention is not required.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Eye contact</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Rinse cautiously with water for several minutes.Remove contact lenses, if present and easy to do. Continue rinsing.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Ingestion</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Not expected to present a significant ingestion hazard under anticipated conditions of normal use. If you feel unwell, seek medical advice.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Inhalation</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Not expected to be an inhalation hazard under anticipated conditions of normal use of this material. Consult a physician if necessary.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402"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Notes to Physician</w:t>
            </w:r>
          </w:p>
        </w:tc>
        <w:tc>
          <w:tcPr>
            <w:tcW w:w="7120"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Treat symptomatically.</w:t>
            </w:r>
          </w:p>
        </w:tc>
      </w:tr>
    </w:tbl>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Most important symptoms and effects, both acute and delayed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Indication of any immediate medical attention and special treatment needed </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eastAsia="宋体" w:cs="Cambria"/>
          <w:sz w:val="18"/>
          <w:szCs w:val="18"/>
        </w:rPr>
        <w:t>None</w:t>
      </w:r>
    </w:p>
    <w:p>
      <w:pPr>
        <w:tabs>
          <w:tab w:val="left" w:pos="2217"/>
        </w:tabs>
        <w:bidi w:val="0"/>
        <w:jc w:val="center"/>
        <w:rPr>
          <w:rFonts w:hint="default" w:ascii="Cambria" w:hAnsi="Cambria" w:cs="Cambria"/>
          <w:kern w:val="2"/>
          <w:sz w:val="32"/>
          <w:szCs w:val="32"/>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5: Firefighting measures</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Extinguishing media</w:t>
      </w:r>
    </w:p>
    <w:p>
      <w:pPr>
        <w:keepNext w:val="0"/>
        <w:keepLines w:val="0"/>
        <w:pageBreakBefore w:val="0"/>
        <w:widowControl w:val="0"/>
        <w:tabs>
          <w:tab w:val="left" w:pos="2217"/>
        </w:tabs>
        <w:kinsoku/>
        <w:wordWrap/>
        <w:overflowPunct/>
        <w:topLinePunct w:val="0"/>
        <w:autoSpaceDE/>
        <w:autoSpaceDN/>
        <w:bidi w:val="0"/>
        <w:adjustRightInd/>
        <w:snapToGrid/>
        <w:ind w:firstLine="361" w:firstLineChars="200"/>
        <w:jc w:val="left"/>
        <w:textAlignment w:val="auto"/>
        <w:rPr>
          <w:rFonts w:hint="default" w:ascii="Cambria" w:hAnsi="Cambria" w:cs="Cambria"/>
          <w:b/>
          <w:bCs/>
          <w:kern w:val="2"/>
          <w:sz w:val="18"/>
          <w:szCs w:val="18"/>
          <w:lang w:val="en-US" w:eastAsia="zh-CN" w:bidi="ar-SA"/>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59"/>
        <w:gridCol w:w="47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3759" w:type="dxa"/>
          </w:tcPr>
          <w:p>
            <w:pPr>
              <w:keepNext w:val="0"/>
              <w:keepLines w:val="0"/>
              <w:pageBreakBefore w:val="0"/>
              <w:widowControl w:val="0"/>
              <w:tabs>
                <w:tab w:val="left" w:pos="2217"/>
              </w:tabs>
              <w:kinsoku/>
              <w:wordWrap/>
              <w:overflowPunct/>
              <w:topLinePunct w:val="0"/>
              <w:autoSpaceDE/>
              <w:autoSpaceDN/>
              <w:bidi w:val="0"/>
              <w:adjustRightInd/>
              <w:snapToGrid/>
              <w:ind w:firstLine="361" w:firstLineChars="200"/>
              <w:jc w:val="both"/>
              <w:textAlignment w:val="auto"/>
              <w:rPr>
                <w:rFonts w:hint="default" w:ascii="Cambria" w:hAnsi="Cambria" w:cs="Cambria"/>
                <w:b/>
                <w:bCs/>
                <w:kern w:val="2"/>
                <w:sz w:val="18"/>
                <w:szCs w:val="18"/>
                <w:vertAlign w:val="baseline"/>
                <w:lang w:val="en-US" w:eastAsia="zh-CN" w:bidi="ar-SA"/>
              </w:rPr>
            </w:pPr>
            <w:r>
              <w:rPr>
                <w:rFonts w:hint="default" w:ascii="Cambria" w:hAnsi="Cambria" w:cs="Cambria"/>
                <w:b/>
                <w:bCs/>
                <w:kern w:val="2"/>
                <w:sz w:val="18"/>
                <w:szCs w:val="18"/>
                <w:lang w:val="en-US" w:eastAsia="zh-CN" w:bidi="ar-SA"/>
              </w:rPr>
              <w:t>Suitable extinguishing media</w:t>
            </w:r>
            <w:r>
              <w:rPr>
                <w:rFonts w:hint="eastAsia" w:ascii="Cambria" w:hAnsi="Cambria" w:cs="Cambria"/>
                <w:b/>
                <w:bCs/>
                <w:kern w:val="2"/>
                <w:sz w:val="18"/>
                <w:szCs w:val="18"/>
                <w:lang w:val="en-US" w:eastAsia="zh-CN" w:bidi="ar-SA"/>
              </w:rPr>
              <w:t xml:space="preserve"> </w:t>
            </w:r>
          </w:p>
        </w:tc>
        <w:tc>
          <w:tcPr>
            <w:tcW w:w="4763" w:type="dxa"/>
          </w:tcPr>
          <w:p>
            <w:pPr>
              <w:keepNext w:val="0"/>
              <w:keepLines w:val="0"/>
              <w:pageBreakBefore w:val="0"/>
              <w:widowControl w:val="0"/>
              <w:tabs>
                <w:tab w:val="left" w:pos="2217"/>
              </w:tabs>
              <w:kinsoku/>
              <w:wordWrap/>
              <w:overflowPunct/>
              <w:topLinePunct w:val="0"/>
              <w:autoSpaceDE/>
              <w:autoSpaceDN/>
              <w:bidi w:val="0"/>
              <w:adjustRightInd/>
              <w:snapToGrid/>
              <w:jc w:val="left"/>
              <w:textAlignment w:val="auto"/>
              <w:rPr>
                <w:rFonts w:hint="default" w:ascii="Cambria" w:hAnsi="Cambria" w:cs="Cambria"/>
                <w:b/>
                <w:bCs/>
                <w:kern w:val="2"/>
                <w:sz w:val="18"/>
                <w:szCs w:val="18"/>
                <w:vertAlign w:val="baseline"/>
                <w:lang w:val="en-US" w:eastAsia="zh-CN" w:bidi="ar-SA"/>
              </w:rPr>
            </w:pPr>
            <w:r>
              <w:rPr>
                <w:rFonts w:hint="default" w:ascii="Cambria" w:hAnsi="Cambria" w:eastAsia="宋体" w:cs="Cambria"/>
                <w:sz w:val="18"/>
                <w:szCs w:val="18"/>
              </w:rPr>
              <w:t>Water spray. Carbon dioxide (CO2). Foam. Dry chemical.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759" w:type="dxa"/>
          </w:tcPr>
          <w:p>
            <w:pPr>
              <w:keepNext w:val="0"/>
              <w:keepLines w:val="0"/>
              <w:pageBreakBefore w:val="0"/>
              <w:widowControl w:val="0"/>
              <w:tabs>
                <w:tab w:val="left" w:pos="2217"/>
              </w:tabs>
              <w:kinsoku/>
              <w:wordWrap/>
              <w:overflowPunct/>
              <w:topLinePunct w:val="0"/>
              <w:autoSpaceDE/>
              <w:autoSpaceDN/>
              <w:bidi w:val="0"/>
              <w:adjustRightInd/>
              <w:snapToGrid/>
              <w:ind w:firstLine="361" w:firstLineChars="200"/>
              <w:jc w:val="both"/>
              <w:textAlignment w:val="auto"/>
              <w:rPr>
                <w:rFonts w:hint="default" w:ascii="Cambria" w:hAnsi="Cambria" w:cs="Cambria"/>
                <w:b/>
                <w:bCs/>
                <w:kern w:val="2"/>
                <w:sz w:val="18"/>
                <w:szCs w:val="18"/>
                <w:vertAlign w:val="baseline"/>
                <w:lang w:val="en-US" w:eastAsia="zh-CN" w:bidi="ar-SA"/>
              </w:rPr>
            </w:pPr>
            <w:r>
              <w:rPr>
                <w:rFonts w:hint="default" w:ascii="Cambria" w:hAnsi="Cambria" w:cs="Cambria"/>
                <w:b/>
                <w:bCs/>
                <w:kern w:val="2"/>
                <w:sz w:val="18"/>
                <w:szCs w:val="18"/>
                <w:lang w:val="en-US" w:eastAsia="zh-CN" w:bidi="ar-SA"/>
              </w:rPr>
              <w:t>Unsuitable extinguishing media</w:t>
            </w:r>
          </w:p>
        </w:tc>
        <w:tc>
          <w:tcPr>
            <w:tcW w:w="4763" w:type="dxa"/>
          </w:tcPr>
          <w:p>
            <w:pPr>
              <w:keepNext w:val="0"/>
              <w:keepLines w:val="0"/>
              <w:pageBreakBefore w:val="0"/>
              <w:widowControl w:val="0"/>
              <w:tabs>
                <w:tab w:val="left" w:pos="2217"/>
              </w:tabs>
              <w:kinsoku/>
              <w:wordWrap/>
              <w:overflowPunct/>
              <w:topLinePunct w:val="0"/>
              <w:autoSpaceDE/>
              <w:autoSpaceDN/>
              <w:bidi w:val="0"/>
              <w:adjustRightInd/>
              <w:snapToGrid/>
              <w:jc w:val="left"/>
              <w:textAlignment w:val="auto"/>
              <w:rPr>
                <w:rFonts w:hint="default" w:ascii="Cambria" w:hAnsi="Cambria" w:cs="Cambria"/>
                <w:b/>
                <w:bCs/>
                <w:kern w:val="2"/>
                <w:sz w:val="18"/>
                <w:szCs w:val="18"/>
                <w:vertAlign w:val="baseline"/>
                <w:lang w:val="en-US" w:eastAsia="zh-CN" w:bidi="ar-SA"/>
              </w:rPr>
            </w:pPr>
            <w:r>
              <w:rPr>
                <w:rFonts w:hint="default" w:ascii="Cambria" w:hAnsi="Cambria" w:eastAsia="宋体" w:cs="Cambria"/>
                <w:sz w:val="18"/>
                <w:szCs w:val="18"/>
              </w:rPr>
              <w:t>No information available.</w:t>
            </w:r>
          </w:p>
        </w:tc>
      </w:tr>
    </w:tbl>
    <w:p>
      <w:pPr>
        <w:keepNext w:val="0"/>
        <w:keepLines w:val="0"/>
        <w:pageBreakBefore w:val="0"/>
        <w:widowControl w:val="0"/>
        <w:tabs>
          <w:tab w:val="left" w:pos="2217"/>
        </w:tabs>
        <w:kinsoku/>
        <w:wordWrap/>
        <w:overflowPunct/>
        <w:topLinePunct w:val="0"/>
        <w:autoSpaceDE/>
        <w:autoSpaceDN/>
        <w:bidi w:val="0"/>
        <w:adjustRightInd/>
        <w:snapToGrid/>
        <w:ind w:firstLine="361" w:firstLineChars="200"/>
        <w:jc w:val="left"/>
        <w:textAlignment w:val="auto"/>
        <w:rPr>
          <w:rFonts w:hint="default" w:ascii="Cambria" w:hAnsi="Cambria" w:cs="Cambria"/>
          <w:b/>
          <w:bCs/>
          <w:kern w:val="2"/>
          <w:sz w:val="18"/>
          <w:szCs w:val="18"/>
          <w:lang w:val="en-US" w:eastAsia="zh-CN" w:bidi="ar-SA"/>
        </w:rPr>
      </w:pP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b/>
          <w:bCs/>
          <w:kern w:val="2"/>
          <w:sz w:val="18"/>
          <w:szCs w:val="18"/>
          <w:lang w:val="en-US" w:eastAsia="zh-CN" w:bidi="ar-SA"/>
        </w:rPr>
        <w:t>Special hazards arising from the substance or mixture</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Not known</w:t>
      </w:r>
    </w:p>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Advice for firefighters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Standard procedure for chemical fires.</w:t>
      </w:r>
    </w:p>
    <w:p>
      <w:pPr>
        <w:tabs>
          <w:tab w:val="left" w:pos="2217"/>
        </w:tabs>
        <w:bidi w:val="0"/>
        <w:jc w:val="center"/>
        <w:rPr>
          <w:rFonts w:hint="default" w:ascii="Cambria" w:hAnsi="Cambria" w:cs="Cambria"/>
          <w:kern w:val="2"/>
          <w:sz w:val="32"/>
          <w:szCs w:val="32"/>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6: Accidental release measures</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Personal precautions, protective equipment and emergency procedures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Ensure adequate ventilation</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Always wear recommended Personal Protective Equipment</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Use personal protection equipment</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See section 8 for more information</w:t>
      </w:r>
    </w:p>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b/>
          <w:bCs/>
          <w:kern w:val="2"/>
          <w:sz w:val="18"/>
          <w:szCs w:val="18"/>
          <w:lang w:val="en-US" w:eastAsia="zh-CN" w:bidi="ar-SA"/>
        </w:rPr>
        <w:t>Environmental precautions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No special environmental precautions required.</w:t>
      </w:r>
    </w:p>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Methods and material for containment and cleaning up</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Soak up with inert absorbent material.</w:t>
      </w:r>
    </w:p>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b/>
          <w:bCs/>
          <w:kern w:val="2"/>
          <w:sz w:val="18"/>
          <w:szCs w:val="18"/>
          <w:lang w:val="en-US" w:eastAsia="zh-CN" w:bidi="ar-SA"/>
        </w:rPr>
        <w:t>Reference to other sections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See section 8 for more information.</w:t>
      </w:r>
    </w:p>
    <w:p>
      <w:pPr>
        <w:tabs>
          <w:tab w:val="left" w:pos="2217"/>
        </w:tabs>
        <w:bidi w:val="0"/>
        <w:jc w:val="center"/>
        <w:rPr>
          <w:rFonts w:hint="default" w:ascii="Cambria" w:hAnsi="Cambria" w:cs="Cambria"/>
          <w:kern w:val="2"/>
          <w:sz w:val="32"/>
          <w:szCs w:val="32"/>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7: Handling and storage</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Precautions for safe handling</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Use personal protective equipment as required. No special handling advices are necessary.</w:t>
      </w:r>
    </w:p>
    <w:p>
      <w:pPr>
        <w:tabs>
          <w:tab w:val="left" w:pos="2217"/>
        </w:tabs>
        <w:bidi w:val="0"/>
        <w:jc w:val="left"/>
        <w:rPr>
          <w:rFonts w:hint="default" w:ascii="Cambria" w:hAnsi="Cambria" w:cs="Cambria"/>
          <w:b/>
          <w:bCs/>
          <w:kern w:val="2"/>
          <w:sz w:val="18"/>
          <w:szCs w:val="18"/>
          <w:lang w:val="en-US" w:eastAsia="zh-CN" w:bidi="ar-SA"/>
        </w:rPr>
      </w:pP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b/>
          <w:bCs/>
          <w:kern w:val="2"/>
          <w:sz w:val="18"/>
          <w:szCs w:val="18"/>
          <w:lang w:val="en-US" w:eastAsia="zh-CN" w:bidi="ar-SA"/>
        </w:rPr>
        <w:t>Conditions for safe storage, including any incompatibilities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Keep in a dry, cool and well-ventilated place. Keep in properly labeled containers.</w:t>
      </w:r>
    </w:p>
    <w:p>
      <w:pPr>
        <w:tabs>
          <w:tab w:val="left" w:pos="2217"/>
        </w:tabs>
        <w:bidi w:val="0"/>
        <w:jc w:val="left"/>
        <w:rPr>
          <w:rFonts w:hint="default" w:ascii="Cambria" w:hAnsi="Cambria" w:cs="Cambria"/>
          <w:b/>
          <w:bCs/>
          <w:kern w:val="2"/>
          <w:sz w:val="18"/>
          <w:szCs w:val="18"/>
          <w:lang w:val="en-US" w:eastAsia="zh-CN" w:bidi="ar-SA"/>
        </w:rPr>
      </w:pPr>
    </w:p>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Specific end use(s)</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cs="Cambria"/>
          <w:kern w:val="2"/>
          <w:sz w:val="18"/>
          <w:szCs w:val="18"/>
          <w:lang w:val="en-US" w:eastAsia="zh-CN" w:bidi="ar-SA"/>
        </w:rPr>
        <w:t>For research use only.</w:t>
      </w:r>
    </w:p>
    <w:p>
      <w:pPr>
        <w:tabs>
          <w:tab w:val="left" w:pos="2217"/>
        </w:tabs>
        <w:bidi w:val="0"/>
        <w:jc w:val="left"/>
        <w:rPr>
          <w:rFonts w:hint="default" w:ascii="Cambria" w:hAnsi="Cambria" w:cs="Cambria"/>
          <w:kern w:val="2"/>
          <w:sz w:val="18"/>
          <w:szCs w:val="18"/>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 xml:space="preserve"> SECTION 8: Exposure controls/personal protection</w:t>
            </w:r>
          </w:p>
        </w:tc>
      </w:tr>
    </w:tbl>
    <w:p>
      <w:pPr>
        <w:tabs>
          <w:tab w:val="left" w:pos="2217"/>
        </w:tabs>
        <w:bidi w:val="0"/>
        <w:jc w:val="left"/>
        <w:rPr>
          <w:rFonts w:hint="default" w:ascii="Cambria" w:hAnsi="Cambria" w:cs="Cambria"/>
          <w:b/>
          <w:bCs/>
          <w:kern w:val="2"/>
          <w:sz w:val="18"/>
          <w:szCs w:val="18"/>
          <w:u w:val="single"/>
          <w:lang w:val="en-US" w:eastAsia="zh-CN" w:bidi="ar-SA"/>
        </w:rPr>
      </w:pPr>
      <w:r>
        <w:rPr>
          <w:rFonts w:hint="default" w:ascii="Cambria" w:hAnsi="Cambria" w:cs="Cambria"/>
          <w:b/>
          <w:bCs/>
          <w:kern w:val="2"/>
          <w:sz w:val="18"/>
          <w:szCs w:val="18"/>
          <w:u w:val="single"/>
          <w:lang w:val="en-US" w:eastAsia="zh-CN" w:bidi="ar-SA"/>
        </w:rPr>
        <w:t>Control parameters</w:t>
      </w:r>
    </w:p>
    <w:tbl>
      <w:tblPr>
        <w:tblStyle w:val="4"/>
        <w:tblW w:w="781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79"/>
        <w:gridCol w:w="55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trPr>
        <w:tc>
          <w:tcPr>
            <w:tcW w:w="227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Cambria" w:hAnsi="Cambria" w:eastAsia="宋体" w:cs="Cambria"/>
                <w:b/>
                <w:bCs/>
                <w:i w:val="0"/>
                <w:iCs w:val="0"/>
                <w:color w:val="000000"/>
                <w:sz w:val="18"/>
                <w:szCs w:val="18"/>
                <w:u w:val="none"/>
              </w:rPr>
            </w:pPr>
            <w:r>
              <w:rPr>
                <w:rFonts w:hint="default" w:ascii="Cambria" w:hAnsi="Cambria" w:eastAsia="宋体" w:cs="Cambria"/>
                <w:b/>
                <w:bCs/>
                <w:i w:val="0"/>
                <w:iCs w:val="0"/>
                <w:color w:val="000000"/>
                <w:kern w:val="0"/>
                <w:sz w:val="18"/>
                <w:szCs w:val="18"/>
                <w:u w:val="none"/>
                <w:lang w:val="en-US" w:eastAsia="zh-CN" w:bidi="ar"/>
              </w:rPr>
              <w:t>Exposure Limits</w:t>
            </w:r>
          </w:p>
        </w:tc>
        <w:tc>
          <w:tcPr>
            <w:tcW w:w="5533"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Cambria" w:hAnsi="Cambria" w:eastAsia="宋体" w:cs="Cambria"/>
                <w:i w:val="0"/>
                <w:iCs w:val="0"/>
                <w:color w:val="000000"/>
                <w:sz w:val="18"/>
                <w:szCs w:val="18"/>
                <w:u w:val="none"/>
              </w:rPr>
            </w:pPr>
            <w:r>
              <w:rPr>
                <w:rFonts w:hint="default" w:ascii="Cambria" w:hAnsi="Cambria" w:eastAsia="宋体" w:cs="Cambria"/>
                <w:i w:val="0"/>
                <w:iCs w:val="0"/>
                <w:color w:val="000000"/>
                <w:kern w:val="0"/>
                <w:sz w:val="18"/>
                <w:szCs w:val="18"/>
                <w:u w:val="none"/>
                <w:lang w:val="en-US" w:eastAsia="zh-CN" w:bidi="ar"/>
              </w:rPr>
              <w:t>Contains no substances with occupational exposure limit values.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227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default" w:ascii="Cambria" w:hAnsi="Cambria" w:eastAsia="宋体" w:cs="Cambria"/>
                <w:b/>
                <w:bCs/>
                <w:i w:val="0"/>
                <w:iCs w:val="0"/>
                <w:color w:val="000000"/>
                <w:sz w:val="18"/>
                <w:szCs w:val="18"/>
                <w:u w:val="none"/>
              </w:rPr>
            </w:pPr>
            <w:r>
              <w:rPr>
                <w:rFonts w:hint="default" w:ascii="Cambria" w:hAnsi="Cambria" w:eastAsia="宋体" w:cs="Cambria"/>
                <w:b/>
                <w:bCs/>
                <w:i w:val="0"/>
                <w:iCs w:val="0"/>
                <w:color w:val="000000"/>
                <w:kern w:val="0"/>
                <w:sz w:val="18"/>
                <w:szCs w:val="18"/>
                <w:u w:val="none"/>
                <w:lang w:val="en-US" w:eastAsia="zh-CN" w:bidi="ar"/>
              </w:rPr>
              <w:t>Engineering Measures</w:t>
            </w:r>
          </w:p>
        </w:tc>
        <w:tc>
          <w:tcPr>
            <w:tcW w:w="5533" w:type="dxa"/>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Cambria" w:hAnsi="Cambria" w:eastAsia="宋体" w:cs="Cambria"/>
                <w:i w:val="0"/>
                <w:iCs w:val="0"/>
                <w:color w:val="000000"/>
                <w:sz w:val="18"/>
                <w:szCs w:val="18"/>
                <w:u w:val="none"/>
              </w:rPr>
            </w:pPr>
            <w:r>
              <w:rPr>
                <w:rFonts w:hint="default" w:ascii="Cambria" w:hAnsi="Cambria" w:eastAsia="宋体" w:cs="Cambria"/>
                <w:i w:val="0"/>
                <w:iCs w:val="0"/>
                <w:color w:val="000000"/>
                <w:kern w:val="0"/>
                <w:sz w:val="18"/>
                <w:szCs w:val="18"/>
                <w:u w:val="none"/>
                <w:lang w:val="en-US" w:eastAsia="zh-CN" w:bidi="ar"/>
              </w:rPr>
              <w:t>Ensure adequate ventilation, especially in confined areas.</w:t>
            </w:r>
          </w:p>
        </w:tc>
      </w:tr>
    </w:tbl>
    <w:p>
      <w:pPr>
        <w:tabs>
          <w:tab w:val="left" w:pos="2217"/>
        </w:tabs>
        <w:bidi w:val="0"/>
        <w:jc w:val="left"/>
        <w:rPr>
          <w:rFonts w:hint="default" w:ascii="Cambria" w:hAnsi="Cambria" w:cs="Cambria"/>
          <w:b/>
          <w:bCs/>
          <w:kern w:val="2"/>
          <w:sz w:val="18"/>
          <w:szCs w:val="18"/>
          <w:lang w:val="en-US" w:eastAsia="zh-CN" w:bidi="ar-SA"/>
        </w:rPr>
      </w:pPr>
      <w:r>
        <w:rPr>
          <w:rFonts w:hint="default" w:ascii="Cambria" w:hAnsi="Cambria" w:cs="Cambria"/>
          <w:b/>
          <w:bCs/>
          <w:kern w:val="2"/>
          <w:sz w:val="18"/>
          <w:szCs w:val="18"/>
          <w:u w:val="single"/>
          <w:lang w:val="en-US" w:eastAsia="zh-CN" w:bidi="ar-SA"/>
        </w:rPr>
        <w:t>Exposure controls</w:t>
      </w:r>
    </w:p>
    <w:p>
      <w:pPr>
        <w:keepNext w:val="0"/>
        <w:keepLines w:val="0"/>
        <w:pageBreakBefore w:val="0"/>
        <w:widowControl w:val="0"/>
        <w:tabs>
          <w:tab w:val="left" w:pos="2217"/>
        </w:tabs>
        <w:kinsoku/>
        <w:wordWrap/>
        <w:overflowPunct/>
        <w:topLinePunct w:val="0"/>
        <w:autoSpaceDE/>
        <w:autoSpaceDN/>
        <w:bidi w:val="0"/>
        <w:adjustRightInd/>
        <w:snapToGrid/>
        <w:ind w:firstLine="360" w:firstLineChars="200"/>
        <w:jc w:val="left"/>
        <w:textAlignment w:val="auto"/>
        <w:rPr>
          <w:rFonts w:hint="default" w:ascii="Cambria" w:hAnsi="Cambria" w:cs="Cambria"/>
          <w:b/>
          <w:bCs/>
          <w:kern w:val="2"/>
          <w:sz w:val="18"/>
          <w:szCs w:val="18"/>
          <w:lang w:val="en-US" w:eastAsia="zh-CN" w:bidi="ar-SA"/>
        </w:rPr>
      </w:pPr>
      <w:r>
        <w:rPr>
          <w:rFonts w:hint="default" w:ascii="Cambria" w:hAnsi="Cambria" w:cs="Cambria"/>
          <w:kern w:val="2"/>
          <w:sz w:val="18"/>
          <w:szCs w:val="18"/>
          <w:lang w:val="en-US" w:eastAsia="zh-CN" w:bidi="ar-SA"/>
        </w:rPr>
        <w:t xml:space="preserve"> </w:t>
      </w:r>
      <w:r>
        <w:rPr>
          <w:rFonts w:hint="default" w:ascii="Cambria" w:hAnsi="Cambria" w:cs="Cambria"/>
          <w:b/>
          <w:bCs/>
          <w:kern w:val="2"/>
          <w:sz w:val="18"/>
          <w:szCs w:val="18"/>
          <w:lang w:val="en-US" w:eastAsia="zh-CN" w:bidi="ar-SA"/>
        </w:rPr>
        <w:t>Personal Protective Equipment</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506"/>
        <w:gridCol w:w="60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9" w:hRule="atLeast"/>
        </w:trPr>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Respiratory protection</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In case of insufficient ventilation wear respirators and components tested and approved under appropriate government standards.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Hand protection</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Wear suitable gloves. Glove material: Compatible chemical-resistant gloves.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Eye protection</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Tight sealing safety goggles.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Skin and Body Protection</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Wear suitable protective clothing.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b/>
                <w:bCs/>
                <w:sz w:val="18"/>
                <w:szCs w:val="18"/>
              </w:rPr>
              <w:t>Hygiene Measures</w:t>
            </w:r>
          </w:p>
        </w:tc>
        <w:tc>
          <w:tcPr>
            <w:tcW w:w="6016" w:type="dxa"/>
            <w:vAlign w:val="center"/>
          </w:tcPr>
          <w:p>
            <w:pPr>
              <w:bidi w:val="0"/>
              <w:jc w:val="left"/>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Handle in accordance with good industrial hygiene and safety practice</w:t>
            </w:r>
            <w:r>
              <w:rPr>
                <w:rFonts w:hint="default" w:ascii="Cambria" w:hAnsi="Cambria" w:eastAsia="宋体" w:cs="Cambria"/>
                <w:sz w:val="18"/>
                <w:szCs w:val="18"/>
                <w:lang w:val="en-US" w:eastAsia="zh-CN"/>
              </w:rPr>
              <w:t>.</w:t>
            </w:r>
          </w:p>
        </w:tc>
      </w:tr>
    </w:tbl>
    <w:p>
      <w:pPr>
        <w:pBdr>
          <w:top w:val="none" w:color="auto" w:sz="0" w:space="0"/>
          <w:left w:val="none" w:color="auto" w:sz="0" w:space="0"/>
          <w:bottom w:val="none" w:color="auto" w:sz="0" w:space="0"/>
          <w:right w:val="none" w:color="auto" w:sz="0" w:space="0"/>
          <w:between w:val="none" w:color="auto" w:sz="0" w:space="0"/>
        </w:pBd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Environmental exposure controls </w:t>
      </w:r>
    </w:p>
    <w:p>
      <w:pPr>
        <w:pBdr>
          <w:top w:val="none" w:color="auto" w:sz="0" w:space="0"/>
          <w:left w:val="none" w:color="auto" w:sz="0" w:space="0"/>
          <w:bottom w:val="none" w:color="auto" w:sz="0" w:space="0"/>
          <w:right w:val="none" w:color="auto" w:sz="0" w:space="0"/>
          <w:between w:val="none" w:color="auto" w:sz="0" w:space="0"/>
        </w:pBdr>
        <w:tabs>
          <w:tab w:val="left" w:pos="2217"/>
        </w:tabs>
        <w:bidi w:val="0"/>
        <w:jc w:val="left"/>
        <w:rPr>
          <w:rFonts w:hint="default" w:ascii="Cambria" w:hAnsi="Cambria" w:cs="Cambria"/>
          <w:kern w:val="2"/>
          <w:sz w:val="32"/>
          <w:szCs w:val="32"/>
          <w:lang w:val="en-US" w:eastAsia="zh-CN" w:bidi="ar-SA"/>
        </w:rPr>
      </w:pPr>
      <w:r>
        <w:rPr>
          <w:rFonts w:hint="default" w:ascii="Cambria" w:hAnsi="Cambria" w:eastAsia="宋体" w:cs="Cambria"/>
          <w:sz w:val="18"/>
          <w:szCs w:val="18"/>
        </w:rPr>
        <w:t>No special environmental precautions required.</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9: Physical and chemical properties</w:t>
            </w:r>
          </w:p>
        </w:tc>
      </w:tr>
    </w:tbl>
    <w:p>
      <w:pPr>
        <w:keepNext w:val="0"/>
        <w:keepLines w:val="0"/>
        <w:pageBreakBefore w:val="0"/>
        <w:widowControl w:val="0"/>
        <w:tabs>
          <w:tab w:val="left" w:pos="2217"/>
        </w:tabs>
        <w:kinsoku/>
        <w:wordWrap/>
        <w:overflowPunct/>
        <w:topLinePunct w:val="0"/>
        <w:autoSpaceDE/>
        <w:autoSpaceDN/>
        <w:bidi w:val="0"/>
        <w:adjustRightInd/>
        <w:snapToGrid/>
        <w:spacing w:line="360" w:lineRule="auto"/>
        <w:jc w:val="left"/>
        <w:textAlignment w:val="auto"/>
        <w:rPr>
          <w:rFonts w:hint="default" w:ascii="Cambria" w:hAnsi="Cambria" w:cs="Cambria"/>
          <w:b/>
          <w:bCs/>
          <w:kern w:val="2"/>
          <w:sz w:val="18"/>
          <w:szCs w:val="18"/>
          <w:lang w:val="en-US" w:eastAsia="zh-CN" w:bidi="ar-SA"/>
        </w:rPr>
      </w:pPr>
      <w:r>
        <w:rPr>
          <w:rFonts w:hint="default" w:ascii="Cambria" w:hAnsi="Cambria" w:cs="Cambria"/>
          <w:b/>
          <w:bCs/>
          <w:kern w:val="2"/>
          <w:sz w:val="18"/>
          <w:szCs w:val="18"/>
          <w:lang w:val="en-US" w:eastAsia="zh-CN" w:bidi="ar-SA"/>
        </w:rPr>
        <w:t>Information on basic physical and chemical properties</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90"/>
        <w:gridCol w:w="2124"/>
        <w:gridCol w:w="18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lang w:val="en-US" w:eastAsia="zh-CN"/>
              </w:rPr>
              <w:t>Physical state</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liquid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Color</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5"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Odor</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Molecular Weight</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Melting point / melting range</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Boiling point / boiling range</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Flammability (solid, gas)</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3"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Lower explosion limit</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Upper explosion limit</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Flash point</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Autoignition Temperature</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4290" w:type="dxa"/>
            <w:vAlign w:val="center"/>
          </w:tcPr>
          <w:p>
            <w:pPr>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Decomposition temperature</w:t>
            </w:r>
          </w:p>
        </w:tc>
        <w:tc>
          <w:tcPr>
            <w:tcW w:w="2124" w:type="dxa"/>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 xml:space="preserve">°C No data </w:t>
            </w:r>
          </w:p>
        </w:tc>
        <w:tc>
          <w:tcPr>
            <w:tcW w:w="1885" w:type="dxa"/>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°F No data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pH</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highlight w:val="none"/>
              </w:rPr>
              <w:t xml:space="preserve">7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Evaporation rate</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Viscosity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Solubility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Partition coefficient: n-octanol/water</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Vapor Pressure</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Specific gravity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Relative density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Vapor density</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9"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Explosive properties</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Oxidizing properties</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 xml:space="preserve">No data </w:t>
            </w:r>
          </w:p>
        </w:tc>
        <w:tc>
          <w:tcPr>
            <w:tcW w:w="1885" w:type="dxa"/>
            <w:vAlign w:val="center"/>
          </w:tcPr>
          <w:p>
            <w:pPr>
              <w:bidi w:val="0"/>
              <w:jc w:val="both"/>
              <w:rPr>
                <w:rFonts w:hint="default" w:ascii="Cambria" w:hAnsi="Cambria" w:eastAsia="宋体" w:cs="Cambria"/>
                <w:sz w:val="18"/>
                <w:szCs w:val="18"/>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290" w:type="dxa"/>
            <w:vAlign w:val="center"/>
          </w:tcPr>
          <w:p>
            <w:pPr>
              <w:bidi w:val="0"/>
              <w:jc w:val="both"/>
              <w:rPr>
                <w:rFonts w:hint="default" w:ascii="Cambria" w:hAnsi="Cambria" w:eastAsia="宋体" w:cs="Cambria"/>
                <w:b/>
                <w:bCs/>
                <w:sz w:val="18"/>
                <w:szCs w:val="18"/>
                <w:lang w:val="en-US" w:eastAsia="zh-CN"/>
              </w:rPr>
            </w:pPr>
            <w:r>
              <w:rPr>
                <w:rFonts w:hint="default" w:ascii="Cambria" w:hAnsi="Cambria" w:eastAsia="宋体" w:cs="Cambria"/>
                <w:b/>
                <w:bCs/>
                <w:sz w:val="18"/>
                <w:szCs w:val="18"/>
              </w:rPr>
              <w:t>Particle characteristics</w:t>
            </w:r>
          </w:p>
        </w:tc>
        <w:tc>
          <w:tcPr>
            <w:tcW w:w="2124" w:type="dxa"/>
            <w:vAlign w:val="center"/>
          </w:tcPr>
          <w:p>
            <w:pPr>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No data</w:t>
            </w:r>
          </w:p>
        </w:tc>
        <w:tc>
          <w:tcPr>
            <w:tcW w:w="1885" w:type="dxa"/>
            <w:vAlign w:val="center"/>
          </w:tcPr>
          <w:p>
            <w:pPr>
              <w:bidi w:val="0"/>
              <w:jc w:val="both"/>
              <w:rPr>
                <w:rFonts w:hint="default" w:ascii="Cambria" w:hAnsi="Cambria" w:eastAsia="宋体" w:cs="Cambria"/>
                <w:sz w:val="18"/>
                <w:szCs w:val="18"/>
                <w:lang w:val="en-US" w:eastAsia="zh-CN"/>
              </w:rPr>
            </w:pPr>
          </w:p>
        </w:tc>
      </w:tr>
    </w:tbl>
    <w:p>
      <w:pPr>
        <w:tabs>
          <w:tab w:val="left" w:pos="2217"/>
        </w:tabs>
        <w:bidi w:val="0"/>
        <w:jc w:val="left"/>
        <w:rPr>
          <w:rFonts w:hint="default" w:ascii="Cambria" w:hAnsi="Cambria" w:cs="Cambria"/>
          <w:kern w:val="2"/>
          <w:sz w:val="18"/>
          <w:szCs w:val="18"/>
          <w:lang w:val="en-US" w:eastAsia="zh-CN" w:bidi="ar-SA"/>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Other information </w:t>
      </w:r>
    </w:p>
    <w:p>
      <w:pPr>
        <w:tabs>
          <w:tab w:val="left" w:pos="2217"/>
        </w:tabs>
        <w:bidi w:val="0"/>
        <w:jc w:val="left"/>
        <w:rPr>
          <w:rFonts w:hint="default" w:ascii="Cambria" w:hAnsi="Cambria" w:eastAsia="宋体" w:cs="Cambria"/>
          <w:b/>
          <w:bCs/>
          <w:sz w:val="18"/>
          <w:szCs w:val="18"/>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Information with regard to physical hazard classes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 information available </w:t>
      </w:r>
    </w:p>
    <w:p>
      <w:pPr>
        <w:tabs>
          <w:tab w:val="left" w:pos="2217"/>
        </w:tabs>
        <w:bidi w:val="0"/>
        <w:jc w:val="left"/>
        <w:rPr>
          <w:rFonts w:hint="default" w:ascii="Cambria" w:hAnsi="Cambria" w:eastAsia="宋体" w:cs="Cambria"/>
          <w:b/>
          <w:bCs/>
          <w:sz w:val="18"/>
          <w:szCs w:val="18"/>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Other safety characteristics </w:t>
      </w:r>
    </w:p>
    <w:p>
      <w:pPr>
        <w:tabs>
          <w:tab w:val="left" w:pos="2217"/>
        </w:tabs>
        <w:bidi w:val="0"/>
        <w:jc w:val="left"/>
        <w:rPr>
          <w:rFonts w:hint="default" w:ascii="Cambria" w:hAnsi="Cambria" w:eastAsia="宋体" w:cs="Cambria"/>
          <w:sz w:val="18"/>
          <w:szCs w:val="18"/>
          <w:lang w:val="en-US" w:eastAsia="zh-CN"/>
        </w:rPr>
      </w:pPr>
      <w:r>
        <w:rPr>
          <w:rFonts w:hint="default" w:ascii="Cambria" w:hAnsi="Cambria" w:eastAsia="宋体" w:cs="Cambria"/>
          <w:sz w:val="18"/>
          <w:szCs w:val="18"/>
        </w:rPr>
        <w:t>No information available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3330"/>
        <w:gridCol w:w="4970"/>
        <w:gridCol w:w="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22" w:type="dxa"/>
          <w:trHeight w:val="224" w:hRule="atLeast"/>
        </w:trPr>
        <w:tc>
          <w:tcPr>
            <w:tcW w:w="8300" w:type="dxa"/>
            <w:gridSpan w:val="2"/>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 xml:space="preserve"> SECTION 10: Stability and reactivity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Reactivity</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None known.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Chemical stability</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Stable under normal conditions.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Possibility of hazardous reactions</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Hazardous reaction has not been reported.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Conditions to avoid</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 information available.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Incompatible materials</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 dangerous reaction known under conditions of normal use.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c>
          <w:tcPr>
            <w:tcW w:w="3330" w:type="dxa"/>
            <w:shd w:val="clear" w:color="auto" w:fill="auto"/>
            <w:vAlign w:val="center"/>
          </w:tcPr>
          <w:p>
            <w:pPr>
              <w:tabs>
                <w:tab w:val="left" w:pos="2217"/>
              </w:tabs>
              <w:bidi w:val="0"/>
              <w:jc w:val="both"/>
              <w:rPr>
                <w:rFonts w:hint="default" w:ascii="Cambria" w:hAnsi="Cambria" w:cs="Cambria"/>
                <w:b/>
                <w:bCs/>
                <w:kern w:val="2"/>
                <w:sz w:val="18"/>
                <w:szCs w:val="18"/>
                <w:vertAlign w:val="baseline"/>
                <w:lang w:val="en-US" w:eastAsia="zh-CN" w:bidi="ar-SA"/>
              </w:rPr>
            </w:pPr>
            <w:r>
              <w:rPr>
                <w:rFonts w:hint="default" w:ascii="Cambria" w:hAnsi="Cambria" w:eastAsia="宋体" w:cs="Cambria"/>
                <w:b/>
                <w:bCs/>
                <w:sz w:val="18"/>
                <w:szCs w:val="18"/>
              </w:rPr>
              <w:t>Hazardous decomposition products</w:t>
            </w:r>
          </w:p>
        </w:tc>
        <w:tc>
          <w:tcPr>
            <w:tcW w:w="5192" w:type="dxa"/>
            <w:gridSpan w:val="2"/>
            <w:shd w:val="clear" w:color="auto" w:fill="auto"/>
            <w:vAlign w:val="center"/>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No data available.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gridAfter w:val="1"/>
          <w:wAfter w:w="222" w:type="dxa"/>
          <w:trHeight w:val="224" w:hRule="atLeast"/>
        </w:trPr>
        <w:tc>
          <w:tcPr>
            <w:tcW w:w="8300" w:type="dxa"/>
            <w:gridSpan w:val="2"/>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11: Toxicological information</w:t>
            </w:r>
          </w:p>
        </w:tc>
      </w:tr>
    </w:tbl>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Information on toxicological effects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There is no evidence available indicating acute toxicity.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Principal Routes of Exposure</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70"/>
        <w:gridCol w:w="43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Acute toxicity</w:t>
            </w:r>
          </w:p>
        </w:tc>
        <w:tc>
          <w:tcPr>
            <w:tcW w:w="4352"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Skin corrosion/irritation</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Serious eye damage/irritation</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Respiratory or skin sensitization</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Specific target organ toxicity (STOT) – single exposure</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Specific target organ toxicity (STOT) – repeated exposur</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Carcinogenicity</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Germ cell mutagenicity</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Reproductive toxicity</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70" w:type="dxa"/>
            <w:vAlign w:val="center"/>
          </w:tcPr>
          <w:p>
            <w:pPr>
              <w:tabs>
                <w:tab w:val="left" w:pos="2217"/>
              </w:tabs>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Aspiration hazard</w:t>
            </w:r>
          </w:p>
        </w:tc>
        <w:tc>
          <w:tcPr>
            <w:tcW w:w="4352" w:type="dxa"/>
            <w:vAlign w:val="center"/>
          </w:tcPr>
          <w:p>
            <w:pPr>
              <w:bidi w:val="0"/>
              <w:jc w:val="both"/>
              <w:rPr>
                <w:rFonts w:hint="default" w:ascii="Cambria" w:hAnsi="Cambria" w:eastAsia="宋体" w:cs="Cambria"/>
                <w:b/>
                <w:bCs/>
                <w:sz w:val="18"/>
                <w:szCs w:val="18"/>
                <w:vertAlign w:val="baseline"/>
                <w:lang w:val="en-US" w:eastAsia="zh-CN"/>
              </w:rPr>
            </w:pPr>
            <w:r>
              <w:rPr>
                <w:rFonts w:hint="default" w:ascii="Cambria" w:hAnsi="Cambria" w:eastAsia="宋体" w:cs="Cambria"/>
                <w:sz w:val="18"/>
                <w:szCs w:val="18"/>
              </w:rPr>
              <w:t>Data are conclusive but insufficient for classification.</w:t>
            </w:r>
          </w:p>
        </w:tc>
      </w:tr>
    </w:tbl>
    <w:p>
      <w:pPr>
        <w:tabs>
          <w:tab w:val="left" w:pos="2217"/>
        </w:tabs>
        <w:bidi w:val="0"/>
        <w:jc w:val="left"/>
        <w:rPr>
          <w:rFonts w:hint="default" w:ascii="Cambria" w:hAnsi="Cambria" w:eastAsia="宋体" w:cs="Cambria"/>
          <w:b/>
          <w:bCs/>
          <w:sz w:val="18"/>
          <w:szCs w:val="18"/>
          <w:lang w:val="en-US" w:eastAsia="zh-CN"/>
        </w:rPr>
      </w:pPr>
    </w:p>
    <w:p>
      <w:pPr>
        <w:tabs>
          <w:tab w:val="left" w:pos="2217"/>
        </w:tabs>
        <w:bidi w:val="0"/>
        <w:jc w:val="left"/>
        <w:rPr>
          <w:rFonts w:hint="default" w:ascii="宋体" w:hAnsi="宋体" w:eastAsia="宋体" w:cs="宋体"/>
          <w:b/>
          <w:bCs/>
          <w:sz w:val="24"/>
          <w:szCs w:val="24"/>
          <w:lang w:val="en-US" w:eastAsia="zh-CN"/>
        </w:rPr>
      </w:pPr>
    </w:p>
    <w:p>
      <w:pPr>
        <w:tabs>
          <w:tab w:val="left" w:pos="2217"/>
        </w:tabs>
        <w:bidi w:val="0"/>
        <w:jc w:val="left"/>
        <w:rPr>
          <w:rFonts w:hint="default" w:ascii="宋体" w:hAnsi="宋体" w:eastAsia="宋体" w:cs="宋体"/>
          <w:b/>
          <w:bCs/>
          <w:sz w:val="24"/>
          <w:szCs w:val="24"/>
          <w:lang w:val="en-US" w:eastAsia="zh-CN"/>
        </w:rPr>
      </w:pPr>
    </w:p>
    <w:p>
      <w:pPr>
        <w:tabs>
          <w:tab w:val="left" w:pos="2217"/>
        </w:tabs>
        <w:bidi w:val="0"/>
        <w:jc w:val="left"/>
        <w:rPr>
          <w:rFonts w:hint="default" w:ascii="宋体" w:hAnsi="宋体" w:eastAsia="宋体" w:cs="宋体"/>
          <w:b/>
          <w:bCs/>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 xml:space="preserve"> SECTION 12: Ecological information</w:t>
            </w:r>
          </w:p>
        </w:tc>
      </w:tr>
    </w:tbl>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Toxicity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Contains no substances known to be hazardous to the environment or not degradable in waste water treatment plants.</w:t>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59"/>
        <w:gridCol w:w="37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3759" w:type="dxa"/>
            <w:vAlign w:val="center"/>
          </w:tcPr>
          <w:p>
            <w:pPr>
              <w:tabs>
                <w:tab w:val="left" w:pos="2217"/>
              </w:tabs>
              <w:bidi w:val="0"/>
              <w:jc w:val="left"/>
              <w:rPr>
                <w:rFonts w:hint="default" w:ascii="Cambria" w:hAnsi="Cambria" w:eastAsia="宋体" w:cs="Cambria"/>
                <w:b/>
                <w:bCs/>
                <w:sz w:val="18"/>
                <w:szCs w:val="18"/>
                <w:vertAlign w:val="baseline"/>
              </w:rPr>
            </w:pPr>
            <w:r>
              <w:rPr>
                <w:rFonts w:hint="default" w:ascii="Cambria" w:hAnsi="Cambria" w:eastAsia="宋体" w:cs="Cambria"/>
                <w:b/>
                <w:bCs/>
                <w:sz w:val="18"/>
                <w:szCs w:val="18"/>
              </w:rPr>
              <w:t>Mobility in soil</w:t>
            </w:r>
          </w:p>
        </w:tc>
        <w:tc>
          <w:tcPr>
            <w:tcW w:w="3760" w:type="dxa"/>
            <w:vAlign w:val="center"/>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 information available.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3759" w:type="dxa"/>
            <w:vAlign w:val="center"/>
          </w:tcPr>
          <w:p>
            <w:pPr>
              <w:tabs>
                <w:tab w:val="left" w:pos="2217"/>
              </w:tabs>
              <w:bidi w:val="0"/>
              <w:jc w:val="left"/>
              <w:rPr>
                <w:rFonts w:hint="default" w:ascii="Cambria" w:hAnsi="Cambria" w:eastAsia="宋体" w:cs="Cambria"/>
                <w:b/>
                <w:bCs/>
                <w:sz w:val="18"/>
                <w:szCs w:val="18"/>
                <w:vertAlign w:val="baseline"/>
              </w:rPr>
            </w:pPr>
            <w:r>
              <w:rPr>
                <w:rFonts w:hint="default" w:ascii="Cambria" w:hAnsi="Cambria" w:eastAsia="宋体" w:cs="Cambria"/>
                <w:b/>
                <w:bCs/>
                <w:sz w:val="18"/>
                <w:szCs w:val="18"/>
              </w:rPr>
              <w:t>Persistence and degradability</w:t>
            </w:r>
          </w:p>
        </w:tc>
        <w:tc>
          <w:tcPr>
            <w:tcW w:w="3760" w:type="dxa"/>
            <w:vAlign w:val="center"/>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 information available.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3759" w:type="dxa"/>
            <w:vAlign w:val="center"/>
          </w:tcPr>
          <w:p>
            <w:pPr>
              <w:tabs>
                <w:tab w:val="left" w:pos="2217"/>
              </w:tabs>
              <w:bidi w:val="0"/>
              <w:jc w:val="left"/>
              <w:rPr>
                <w:rFonts w:hint="default" w:ascii="Cambria" w:hAnsi="Cambria" w:eastAsia="宋体" w:cs="Cambria"/>
                <w:b/>
                <w:bCs/>
                <w:sz w:val="18"/>
                <w:szCs w:val="18"/>
                <w:vertAlign w:val="baseline"/>
              </w:rPr>
            </w:pPr>
            <w:r>
              <w:rPr>
                <w:rFonts w:hint="default" w:ascii="Cambria" w:hAnsi="Cambria" w:eastAsia="宋体" w:cs="Cambria"/>
                <w:b/>
                <w:bCs/>
                <w:sz w:val="18"/>
                <w:szCs w:val="18"/>
              </w:rPr>
              <w:t>Bioaccumulative potential</w:t>
            </w:r>
          </w:p>
        </w:tc>
        <w:tc>
          <w:tcPr>
            <w:tcW w:w="3760" w:type="dxa"/>
            <w:vAlign w:val="center"/>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 information available.</w:t>
            </w:r>
          </w:p>
        </w:tc>
      </w:tr>
    </w:tbl>
    <w:p>
      <w:pPr>
        <w:tabs>
          <w:tab w:val="left" w:pos="2217"/>
        </w:tabs>
        <w:bidi w:val="0"/>
        <w:jc w:val="left"/>
        <w:rPr>
          <w:rFonts w:hint="default" w:ascii="Cambria" w:hAnsi="Cambria" w:eastAsia="宋体" w:cs="Cambria"/>
          <w:b/>
          <w:bCs/>
          <w:sz w:val="18"/>
          <w:szCs w:val="18"/>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Results of PBT and vPvB assessment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This mixture does not contain any substances that are assessed to be a PBT or a vPvB.</w:t>
      </w:r>
    </w:p>
    <w:p>
      <w:pPr>
        <w:tabs>
          <w:tab w:val="left" w:pos="2217"/>
        </w:tabs>
        <w:bidi w:val="0"/>
        <w:jc w:val="left"/>
        <w:rPr>
          <w:rFonts w:hint="default" w:ascii="Cambria" w:hAnsi="Cambria" w:eastAsia="宋体" w:cs="Cambria"/>
          <w:sz w:val="18"/>
          <w:szCs w:val="18"/>
        </w:rPr>
      </w:pPr>
    </w:p>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 xml:space="preserve">Other adverse effects </w:t>
      </w:r>
      <w:r>
        <w:rPr>
          <w:rFonts w:hint="default" w:ascii="Cambria" w:hAnsi="Cambria" w:eastAsia="宋体" w:cs="Cambria"/>
          <w:b/>
          <w:bCs/>
          <w:sz w:val="18"/>
          <w:szCs w:val="18"/>
          <w:lang w:val="en-US" w:eastAsia="zh-CN"/>
        </w:rPr>
        <w:t xml:space="preserve">         </w:t>
      </w:r>
      <w:r>
        <w:rPr>
          <w:rFonts w:hint="default" w:ascii="Cambria" w:hAnsi="Cambria" w:eastAsia="宋体" w:cs="Cambria"/>
          <w:sz w:val="18"/>
          <w:szCs w:val="18"/>
        </w:rPr>
        <w:t>No information available.</w:t>
      </w:r>
    </w:p>
    <w:p>
      <w:pPr>
        <w:tabs>
          <w:tab w:val="left" w:pos="2217"/>
        </w:tabs>
        <w:bidi w:val="0"/>
        <w:jc w:val="left"/>
        <w:rPr>
          <w:rFonts w:hint="default" w:ascii="Cambria" w:hAnsi="Cambria" w:eastAsia="宋体" w:cs="Cambria"/>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eastAsia="宋体" w:cs="Cambria"/>
                <w:sz w:val="21"/>
                <w:szCs w:val="21"/>
              </w:rPr>
              <w:t>SECTION 13: Disposal considerations</w:t>
            </w:r>
          </w:p>
        </w:tc>
      </w:tr>
    </w:tbl>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Waste treatment methods</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The generation of waste should be avoided or minimized wherever possible. Empty containers or liners may retain some product residues. This material and its container must be disposed of in according to approved disposal technique. Disposal of this product, its solutions or of any by-products, shall comply with the requirements of all applicable local, regional or national/federal regulations.</w:t>
      </w:r>
    </w:p>
    <w:p>
      <w:pPr>
        <w:tabs>
          <w:tab w:val="left" w:pos="2217"/>
        </w:tabs>
        <w:bidi w:val="0"/>
        <w:jc w:val="left"/>
        <w:rPr>
          <w:rFonts w:hint="eastAsia" w:ascii="Cambria" w:hAnsi="Cambria" w:eastAsia="宋体" w:cs="Cambria"/>
          <w:sz w:val="18"/>
          <w:szCs w:val="18"/>
          <w:lang w:val="en-US" w:eastAsia="zh-CN"/>
        </w:rPr>
      </w:pPr>
    </w:p>
    <w:p>
      <w:pPr>
        <w:tabs>
          <w:tab w:val="left" w:pos="2217"/>
        </w:tabs>
        <w:bidi w:val="0"/>
        <w:jc w:val="left"/>
        <w:rPr>
          <w:rFonts w:hint="eastAsia" w:ascii="Cambria" w:hAnsi="Cambria" w:eastAsia="宋体" w:cs="Cambria"/>
          <w:sz w:val="24"/>
          <w:szCs w:val="24"/>
          <w:lang w:val="en-US" w:eastAsia="zh-CN"/>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cs="Cambria"/>
                <w:kern w:val="2"/>
                <w:sz w:val="21"/>
                <w:szCs w:val="21"/>
                <w:vertAlign w:val="baseline"/>
                <w:lang w:val="en-US" w:eastAsia="zh-CN" w:bidi="ar-SA"/>
              </w:rPr>
              <w:t xml:space="preserve"> SECTION 14: Transport information</w:t>
            </w:r>
          </w:p>
        </w:tc>
      </w:tr>
    </w:tbl>
    <w:p>
      <w:pPr>
        <w:tabs>
          <w:tab w:val="left" w:pos="2217"/>
        </w:tabs>
        <w:bidi w:val="0"/>
        <w:jc w:val="left"/>
        <w:rPr>
          <w:rFonts w:hint="default" w:ascii="Cambria" w:hAnsi="Cambria" w:eastAsia="宋体" w:cs="Cambria"/>
          <w:sz w:val="18"/>
          <w:szCs w:val="18"/>
        </w:rPr>
      </w:pPr>
      <w:r>
        <w:rPr>
          <w:rFonts w:hint="default" w:ascii="Cambria" w:hAnsi="Cambria" w:eastAsia="宋体" w:cs="Cambria"/>
          <w:b/>
          <w:bCs/>
          <w:sz w:val="18"/>
          <w:szCs w:val="18"/>
        </w:rPr>
        <w:t>IATA / ADR / DOT-US / IMDG</w:t>
      </w:r>
      <w:r>
        <w:rPr>
          <w:rFonts w:hint="default" w:ascii="Cambria" w:hAnsi="Cambria" w:eastAsia="宋体" w:cs="Cambria"/>
          <w:sz w:val="18"/>
          <w:szCs w:val="18"/>
        </w:rPr>
        <w:t xml:space="preserve">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regulated in the meaning of transport regulations </w:t>
      </w:r>
    </w:p>
    <w:p>
      <w:pPr>
        <w:tabs>
          <w:tab w:val="left" w:pos="2217"/>
        </w:tabs>
        <w:bidi w:val="0"/>
        <w:jc w:val="left"/>
        <w:rPr>
          <w:rFonts w:hint="default" w:ascii="Cambria" w:hAnsi="Cambria" w:eastAsia="宋体" w:cs="Cambria"/>
          <w:sz w:val="18"/>
          <w:szCs w:val="18"/>
        </w:r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UN number or ID number</w:t>
            </w:r>
          </w:p>
        </w:tc>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UN proper shipping name</w:t>
            </w:r>
          </w:p>
        </w:tc>
        <w:tc>
          <w:tcPr>
            <w:tcW w:w="4261" w:type="dxa"/>
          </w:tcPr>
          <w:p>
            <w:pPr>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Transport hazard class(es)</w:t>
            </w:r>
          </w:p>
        </w:tc>
        <w:tc>
          <w:tcPr>
            <w:tcW w:w="4261" w:type="dxa"/>
          </w:tcPr>
          <w:p>
            <w:pPr>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Not Applicable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261" w:type="dxa"/>
          </w:tcPr>
          <w:p>
            <w:pPr>
              <w:tabs>
                <w:tab w:val="left" w:pos="2217"/>
              </w:tabs>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Packing group</w:t>
            </w:r>
          </w:p>
        </w:tc>
        <w:tc>
          <w:tcPr>
            <w:tcW w:w="4261" w:type="dxa"/>
          </w:tcPr>
          <w:p>
            <w:pPr>
              <w:bidi w:val="0"/>
              <w:jc w:val="left"/>
              <w:rPr>
                <w:rFonts w:hint="default" w:ascii="Cambria" w:hAnsi="Cambria" w:eastAsia="宋体" w:cs="Cambria"/>
                <w:sz w:val="18"/>
                <w:szCs w:val="18"/>
                <w:vertAlign w:val="baseline"/>
              </w:rPr>
            </w:pPr>
            <w:r>
              <w:rPr>
                <w:rFonts w:hint="default" w:ascii="Cambria" w:hAnsi="Cambria" w:eastAsia="宋体" w:cs="Cambria"/>
                <w:sz w:val="18"/>
                <w:szCs w:val="18"/>
              </w:rPr>
              <w:t>Not Applicable</w:t>
            </w:r>
          </w:p>
        </w:tc>
      </w:tr>
    </w:tbl>
    <w:p>
      <w:pPr>
        <w:tabs>
          <w:tab w:val="left" w:pos="2217"/>
        </w:tabs>
        <w:bidi w:val="0"/>
        <w:jc w:val="center"/>
        <w:rPr>
          <w:rFonts w:hint="default" w:ascii="Cambria" w:hAnsi="Cambria" w:eastAsia="宋体" w:cs="Cambria"/>
          <w:sz w:val="18"/>
          <w:szCs w:val="18"/>
        </w:rPr>
      </w:pP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Environmental hazards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Special precautions for user </w:t>
      </w:r>
    </w:p>
    <w:p>
      <w:pPr>
        <w:tabs>
          <w:tab w:val="left" w:pos="2217"/>
        </w:tabs>
        <w:bidi w:val="0"/>
        <w:jc w:val="left"/>
        <w:rPr>
          <w:rFonts w:hint="default" w:ascii="Cambria" w:hAnsi="Cambria" w:eastAsia="宋体" w:cs="Cambria"/>
          <w:sz w:val="18"/>
          <w:szCs w:val="18"/>
        </w:rPr>
      </w:pPr>
      <w:r>
        <w:rPr>
          <w:rFonts w:hint="default" w:ascii="Cambria" w:hAnsi="Cambria" w:eastAsia="宋体" w:cs="Cambria"/>
          <w:sz w:val="18"/>
          <w:szCs w:val="18"/>
        </w:rPr>
        <w:t xml:space="preserve">Not Applicable </w:t>
      </w:r>
    </w:p>
    <w:p>
      <w:pPr>
        <w:tabs>
          <w:tab w:val="left" w:pos="2217"/>
        </w:tabs>
        <w:bidi w:val="0"/>
        <w:jc w:val="left"/>
        <w:rPr>
          <w:rFonts w:hint="default" w:ascii="Cambria" w:hAnsi="Cambria" w:eastAsia="宋体" w:cs="Cambria"/>
          <w:b/>
          <w:bCs/>
          <w:sz w:val="18"/>
          <w:szCs w:val="18"/>
        </w:rPr>
      </w:pPr>
      <w:r>
        <w:rPr>
          <w:rFonts w:hint="default" w:ascii="Cambria" w:hAnsi="Cambria" w:eastAsia="宋体" w:cs="Cambria"/>
          <w:b/>
          <w:bCs/>
          <w:sz w:val="18"/>
          <w:szCs w:val="18"/>
        </w:rPr>
        <w:t xml:space="preserve">Maritime transport in bulk according to IMO instruments </w:t>
      </w:r>
    </w:p>
    <w:p>
      <w:pPr>
        <w:tabs>
          <w:tab w:val="left" w:pos="2217"/>
        </w:tabs>
        <w:bidi w:val="0"/>
        <w:jc w:val="left"/>
        <w:rPr>
          <w:rFonts w:hint="default" w:ascii="Cambria" w:hAnsi="Cambria" w:cs="Cambria"/>
          <w:kern w:val="2"/>
          <w:sz w:val="18"/>
          <w:szCs w:val="18"/>
          <w:lang w:val="en-US" w:eastAsia="zh-CN" w:bidi="ar-SA"/>
        </w:rPr>
      </w:pPr>
      <w:r>
        <w:rPr>
          <w:rFonts w:hint="default" w:ascii="Cambria" w:hAnsi="Cambria" w:eastAsia="宋体" w:cs="Cambria"/>
          <w:sz w:val="18"/>
          <w:szCs w:val="18"/>
        </w:rPr>
        <w:t>Not Applicable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cs="Cambria"/>
                <w:kern w:val="2"/>
                <w:sz w:val="21"/>
                <w:szCs w:val="21"/>
                <w:vertAlign w:val="baseline"/>
                <w:lang w:val="en-US" w:eastAsia="zh-CN" w:bidi="ar-SA"/>
              </w:rPr>
              <w:t xml:space="preserve"> SECTION 15: Regulatory information</w:t>
            </w:r>
          </w:p>
        </w:tc>
      </w:tr>
    </w:tbl>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u w:val="single"/>
          <w:lang w:val="en-US" w:eastAsia="zh-CN" w:bidi="ar-SA"/>
        </w:rPr>
        <w:t>US Federal Regulations</w:t>
      </w:r>
      <w:r>
        <w:rPr>
          <w:rFonts w:hint="default" w:ascii="Cambria" w:hAnsi="Cambria" w:cs="Cambria"/>
          <w:b/>
          <w:bCs/>
          <w:kern w:val="2"/>
          <w:sz w:val="18"/>
          <w:szCs w:val="18"/>
          <w:highlight w:val="none"/>
          <w:lang w:val="en-US" w:eastAsia="zh-CN" w:bidi="ar-SA"/>
        </w:rPr>
        <w:t xml:space="preserve"> </w:t>
      </w: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SARA 313</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This product is not regulated by SARA.</w:t>
      </w: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Clean Air Act, Section 112 Hazardous Air Pollutants (HAPs) (see 40 CFR 61)</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This product does not contain HAPs</w:t>
      </w:r>
    </w:p>
    <w:p>
      <w:pPr>
        <w:tabs>
          <w:tab w:val="left" w:pos="2217"/>
        </w:tabs>
        <w:bidi w:val="0"/>
        <w:jc w:val="left"/>
        <w:rPr>
          <w:rFonts w:hint="default" w:ascii="Cambria" w:hAnsi="Cambria" w:cs="Cambria"/>
          <w:kern w:val="2"/>
          <w:sz w:val="18"/>
          <w:szCs w:val="18"/>
          <w:highlight w:val="none"/>
          <w:lang w:val="en-US" w:eastAsia="zh-CN" w:bidi="ar-SA"/>
        </w:rPr>
      </w:pP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 xml:space="preserve">US State Regulations </w:t>
      </w:r>
    </w:p>
    <w:p>
      <w:pPr>
        <w:tabs>
          <w:tab w:val="left" w:pos="2217"/>
        </w:tabs>
        <w:bidi w:val="0"/>
        <w:jc w:val="left"/>
        <w:rPr>
          <w:rFonts w:hint="default" w:ascii="Cambria" w:hAnsi="Cambria" w:cs="Cambria"/>
          <w:b/>
          <w:bCs/>
          <w:kern w:val="2"/>
          <w:sz w:val="18"/>
          <w:szCs w:val="18"/>
          <w:highlight w:val="none"/>
          <w:lang w:val="en-US" w:eastAsia="zh-CN" w:bidi="ar-SA"/>
        </w:rPr>
      </w:pP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California Proposition 65</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This product does not contain any Proposition 65 chemicals</w:t>
      </w: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WHMIS Hazard Class</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Non-controlled</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This product has been classified in accordance with the hazard criteria of the Controlled Products Regulations (CPR)</w:t>
      </w:r>
      <w:r>
        <w:rPr>
          <w:rFonts w:hint="eastAsia" w:ascii="Cambria" w:hAnsi="Cambria" w:cs="Cambria"/>
          <w:kern w:val="2"/>
          <w:sz w:val="18"/>
          <w:szCs w:val="18"/>
          <w:highlight w:val="none"/>
          <w:lang w:val="en-US" w:eastAsia="zh-CN" w:bidi="ar-SA"/>
        </w:rPr>
        <w:t xml:space="preserve"> </w:t>
      </w:r>
      <w:r>
        <w:rPr>
          <w:rFonts w:hint="default" w:ascii="Cambria" w:hAnsi="Cambria" w:cs="Cambria"/>
          <w:kern w:val="2"/>
          <w:sz w:val="18"/>
          <w:szCs w:val="18"/>
          <w:highlight w:val="none"/>
          <w:lang w:val="en-US" w:eastAsia="zh-CN" w:bidi="ar-SA"/>
        </w:rPr>
        <w:t>and the SDS contains all the information required by the CPR.</w:t>
      </w:r>
    </w:p>
    <w:p>
      <w:pPr>
        <w:tabs>
          <w:tab w:val="left" w:pos="2217"/>
        </w:tabs>
        <w:bidi w:val="0"/>
        <w:jc w:val="left"/>
        <w:rPr>
          <w:rFonts w:hint="default" w:ascii="Cambria" w:hAnsi="Cambria" w:cs="Cambria"/>
          <w:b/>
          <w:bCs/>
          <w:kern w:val="2"/>
          <w:sz w:val="18"/>
          <w:szCs w:val="18"/>
          <w:highlight w:val="none"/>
          <w:lang w:val="en-US" w:eastAsia="zh-CN" w:bidi="ar-SA"/>
        </w:rPr>
      </w:pPr>
      <w:r>
        <w:rPr>
          <w:rFonts w:hint="default" w:ascii="Cambria" w:hAnsi="Cambria" w:cs="Cambria"/>
          <w:b/>
          <w:bCs/>
          <w:kern w:val="2"/>
          <w:sz w:val="18"/>
          <w:szCs w:val="18"/>
          <w:highlight w:val="none"/>
          <w:lang w:val="en-US" w:eastAsia="zh-CN" w:bidi="ar-SA"/>
        </w:rPr>
        <w:t xml:space="preserve">National Regulations - Brazil  </w:t>
      </w:r>
    </w:p>
    <w:p>
      <w:pPr>
        <w:tabs>
          <w:tab w:val="left" w:pos="2217"/>
        </w:tabs>
        <w:bidi w:val="0"/>
        <w:jc w:val="left"/>
        <w:rPr>
          <w:rFonts w:hint="default" w:ascii="Cambria" w:hAnsi="Cambria" w:cs="Cambria"/>
          <w:kern w:val="2"/>
          <w:sz w:val="18"/>
          <w:szCs w:val="18"/>
          <w:highlight w:val="none"/>
          <w:lang w:val="en-US" w:eastAsia="zh-CN" w:bidi="ar-SA"/>
        </w:rPr>
      </w:pPr>
      <w:r>
        <w:rPr>
          <w:rFonts w:hint="default" w:ascii="Cambria" w:hAnsi="Cambria" w:cs="Cambria"/>
          <w:kern w:val="2"/>
          <w:sz w:val="18"/>
          <w:szCs w:val="18"/>
          <w:highlight w:val="none"/>
          <w:lang w:val="en-US" w:eastAsia="zh-CN" w:bidi="ar-SA"/>
        </w:rPr>
        <w:t>Not regulate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Layout w:type="autofit"/>
        <w:tblCellMar>
          <w:top w:w="0" w:type="dxa"/>
          <w:left w:w="108" w:type="dxa"/>
          <w:bottom w:w="0" w:type="dxa"/>
          <w:right w:w="108" w:type="dxa"/>
        </w:tblCellMar>
      </w:tblPr>
      <w:tblGrid>
        <w:gridCol w:w="8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D7D7D7" w:themeFill="background1" w:themeFillShade="D8"/>
          <w:tblCellMar>
            <w:top w:w="0" w:type="dxa"/>
            <w:left w:w="108" w:type="dxa"/>
            <w:bottom w:w="0" w:type="dxa"/>
            <w:right w:w="108" w:type="dxa"/>
          </w:tblCellMar>
        </w:tblPrEx>
        <w:trPr>
          <w:trHeight w:val="224" w:hRule="atLeast"/>
        </w:trPr>
        <w:tc>
          <w:tcPr>
            <w:tcW w:w="8300" w:type="dxa"/>
            <w:shd w:val="clear" w:color="auto" w:fill="D7D7D7" w:themeFill="background1" w:themeFillShade="D8"/>
          </w:tcPr>
          <w:p>
            <w:pPr>
              <w:tabs>
                <w:tab w:val="left" w:pos="2217"/>
              </w:tabs>
              <w:bidi w:val="0"/>
              <w:jc w:val="center"/>
              <w:rPr>
                <w:rFonts w:hint="default" w:ascii="Cambria" w:hAnsi="Cambria" w:cs="Cambria"/>
                <w:kern w:val="2"/>
                <w:sz w:val="21"/>
                <w:szCs w:val="21"/>
                <w:vertAlign w:val="baseline"/>
                <w:lang w:val="en-US" w:eastAsia="zh-CN" w:bidi="ar-SA"/>
              </w:rPr>
            </w:pPr>
            <w:r>
              <w:rPr>
                <w:rFonts w:hint="default" w:ascii="Cambria" w:hAnsi="Cambria" w:cs="Cambria"/>
                <w:kern w:val="2"/>
                <w:sz w:val="21"/>
                <w:szCs w:val="21"/>
                <w:vertAlign w:val="baseline"/>
                <w:lang w:val="en-US" w:eastAsia="zh-CN" w:bidi="ar-SA"/>
              </w:rPr>
              <w:t xml:space="preserve"> SECTION 16: Other information</w:t>
            </w:r>
          </w:p>
        </w:tc>
      </w:tr>
    </w:tbl>
    <w:p>
      <w:pPr>
        <w:tabs>
          <w:tab w:val="left" w:pos="2217"/>
        </w:tabs>
        <w:bidi w:val="0"/>
        <w:jc w:val="both"/>
        <w:rPr>
          <w:rFonts w:hint="default" w:ascii="Cambria" w:hAnsi="Cambria" w:cs="Cambria"/>
          <w:kern w:val="2"/>
          <w:sz w:val="32"/>
          <w:szCs w:val="32"/>
          <w:lang w:val="en-US" w:eastAsia="zh-CN" w:bidi="ar-S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nil"/>
              <w:left w:val="nil"/>
              <w:bottom w:val="nil"/>
              <w:right w:val="nil"/>
            </w:tcBorders>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Reason for revision</w:t>
            </w:r>
          </w:p>
        </w:tc>
        <w:tc>
          <w:tcPr>
            <w:tcW w:w="4261" w:type="dxa"/>
            <w:tcBorders>
              <w:top w:val="nil"/>
              <w:left w:val="nil"/>
              <w:bottom w:val="nil"/>
              <w:right w:val="nil"/>
            </w:tcBorders>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SDS sections updated.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nil"/>
              <w:left w:val="nil"/>
              <w:bottom w:val="nil"/>
              <w:right w:val="nil"/>
            </w:tcBorders>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Revision number</w:t>
            </w:r>
          </w:p>
        </w:tc>
        <w:tc>
          <w:tcPr>
            <w:tcW w:w="4261" w:type="dxa"/>
            <w:tcBorders>
              <w:top w:val="nil"/>
              <w:left w:val="nil"/>
              <w:bottom w:val="nil"/>
              <w:right w:val="nil"/>
            </w:tcBorders>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cs="Cambria"/>
                <w:kern w:val="2"/>
                <w:sz w:val="18"/>
                <w:szCs w:val="18"/>
                <w:vertAlign w:val="baseline"/>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nil"/>
              <w:left w:val="nil"/>
              <w:bottom w:val="nil"/>
              <w:right w:val="nil"/>
            </w:tcBorders>
            <w:vAlign w:val="center"/>
          </w:tcPr>
          <w:p>
            <w:pPr>
              <w:bidi w:val="0"/>
              <w:jc w:val="both"/>
              <w:rPr>
                <w:rFonts w:hint="default" w:ascii="Cambria" w:hAnsi="Cambria" w:cs="Cambria"/>
                <w:kern w:val="2"/>
                <w:sz w:val="18"/>
                <w:szCs w:val="18"/>
                <w:vertAlign w:val="baseline"/>
                <w:lang w:val="en-US" w:eastAsia="zh-CN" w:bidi="ar-SA"/>
              </w:rPr>
            </w:pPr>
            <w:r>
              <w:rPr>
                <w:rFonts w:hint="default" w:ascii="Cambria" w:hAnsi="Cambria" w:eastAsia="宋体" w:cs="Cambria"/>
                <w:sz w:val="18"/>
                <w:szCs w:val="18"/>
              </w:rPr>
              <w:t>Revision date</w:t>
            </w:r>
          </w:p>
        </w:tc>
        <w:tc>
          <w:tcPr>
            <w:tcW w:w="4261" w:type="dxa"/>
            <w:tcBorders>
              <w:top w:val="nil"/>
              <w:left w:val="nil"/>
              <w:bottom w:val="nil"/>
              <w:right w:val="nil"/>
            </w:tcBorders>
          </w:tcPr>
          <w:p>
            <w:pPr>
              <w:tabs>
                <w:tab w:val="left" w:pos="2217"/>
              </w:tabs>
              <w:bidi w:val="0"/>
              <w:jc w:val="both"/>
              <w:rPr>
                <w:rFonts w:hint="default" w:ascii="Cambria" w:hAnsi="Cambria" w:cs="Cambria"/>
                <w:kern w:val="2"/>
                <w:sz w:val="18"/>
                <w:szCs w:val="18"/>
                <w:vertAlign w:val="baseline"/>
                <w:lang w:val="en-US" w:eastAsia="zh-CN" w:bidi="ar-SA"/>
              </w:rPr>
            </w:pPr>
            <w:r>
              <w:rPr>
                <w:rFonts w:hint="default" w:ascii="Cambria" w:hAnsi="Cambria" w:cs="Cambria"/>
                <w:kern w:val="2"/>
                <w:sz w:val="18"/>
                <w:szCs w:val="18"/>
                <w:vertAlign w:val="baseline"/>
                <w:lang w:val="en-US" w:eastAsia="zh-CN" w:bidi="ar-SA"/>
              </w:rPr>
              <w:t>12-</w:t>
            </w:r>
            <w:r>
              <w:rPr>
                <w:rFonts w:hint="eastAsia" w:ascii="Cambria" w:hAnsi="Cambria" w:cs="Cambria"/>
                <w:kern w:val="2"/>
                <w:sz w:val="18"/>
                <w:szCs w:val="18"/>
                <w:vertAlign w:val="baseline"/>
                <w:lang w:val="en-US" w:eastAsia="zh-CN" w:bidi="ar-SA"/>
              </w:rPr>
              <w:t>Jan</w:t>
            </w:r>
            <w:r>
              <w:rPr>
                <w:rFonts w:hint="default" w:ascii="Cambria" w:hAnsi="Cambria" w:cs="Cambria"/>
                <w:kern w:val="2"/>
                <w:sz w:val="18"/>
                <w:szCs w:val="18"/>
                <w:vertAlign w:val="baseline"/>
                <w:lang w:val="en-US" w:eastAsia="zh-CN" w:bidi="ar-SA"/>
              </w:rPr>
              <w:t>-2024</w:t>
            </w:r>
          </w:p>
        </w:tc>
      </w:tr>
    </w:tbl>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For research use only. Not for use in diagnostic procedures.</w:t>
      </w:r>
    </w:p>
    <w:p>
      <w:pPr>
        <w:tabs>
          <w:tab w:val="left" w:pos="2217"/>
        </w:tabs>
        <w:bidi w:val="0"/>
        <w:jc w:val="both"/>
        <w:rPr>
          <w:rFonts w:hint="default" w:ascii="Cambria" w:hAnsi="Cambria" w:eastAsia="宋体" w:cs="Cambria"/>
          <w:sz w:val="18"/>
          <w:szCs w:val="18"/>
        </w:rPr>
      </w:pP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Abbreviations and acronyms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TWA - Time-Weighted Average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OELs - Occupational Exposure Limits </w:t>
      </w:r>
    </w:p>
    <w:p>
      <w:pPr>
        <w:tabs>
          <w:tab w:val="left" w:pos="2217"/>
        </w:tabs>
        <w:bidi w:val="0"/>
        <w:jc w:val="both"/>
        <w:rPr>
          <w:rFonts w:hint="default" w:ascii="Cambria" w:hAnsi="Cambria" w:eastAsia="宋体" w:cs="Cambria"/>
          <w:sz w:val="18"/>
          <w:szCs w:val="18"/>
        </w:rPr>
      </w:pPr>
      <w:bookmarkStart w:id="1" w:name="OLE_LINK2"/>
      <w:r>
        <w:rPr>
          <w:rFonts w:hint="default" w:ascii="Cambria" w:hAnsi="Cambria" w:eastAsia="宋体" w:cs="Cambria"/>
          <w:sz w:val="18"/>
          <w:szCs w:val="18"/>
        </w:rPr>
        <w:t>STEL</w:t>
      </w:r>
      <w:bookmarkEnd w:id="1"/>
      <w:r>
        <w:rPr>
          <w:rFonts w:hint="default" w:ascii="Cambria" w:hAnsi="Cambria" w:eastAsia="宋体" w:cs="Cambria"/>
          <w:sz w:val="18"/>
          <w:szCs w:val="18"/>
        </w:rPr>
        <w:t xml:space="preserve"> - Short Term Exposure Limi</w:t>
      </w:r>
      <w:r>
        <w:rPr>
          <w:rFonts w:hint="default" w:ascii="Cambria" w:hAnsi="Cambria" w:eastAsia="宋体" w:cs="Cambria"/>
          <w:sz w:val="18"/>
          <w:szCs w:val="18"/>
          <w:highlight w:val="none"/>
        </w:rPr>
        <w:t xml:space="preserve">t oli-dat abase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DSL/NDSL - Canadian Domestic Substances List/Non-Domestic Substances List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KECL - Korean Existing and Evaluated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ENCS - Japan Existing and New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IECSC - China Inventory of Existing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PICCS - Philippines Inventory of Chemicals and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AICS - Australian Inventory of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NZIoC - New Zealand Inventory of Chemicals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EINECS/ELINCS</w:t>
      </w:r>
      <w:r>
        <w:rPr>
          <w:rFonts w:hint="default" w:ascii="Cambria" w:hAnsi="Cambria" w:eastAsia="宋体" w:cs="Cambria"/>
          <w:sz w:val="18"/>
          <w:szCs w:val="18"/>
          <w:lang w:val="en-US" w:eastAsia="zh-CN"/>
        </w:rPr>
        <w:t xml:space="preserve"> - </w:t>
      </w:r>
      <w:r>
        <w:rPr>
          <w:rFonts w:hint="default" w:ascii="Cambria" w:hAnsi="Cambria" w:eastAsia="宋体" w:cs="Cambria"/>
          <w:sz w:val="18"/>
          <w:szCs w:val="18"/>
        </w:rPr>
        <w:t xml:space="preserve">European Inventory of Existing Chemical Substances/European List of Notified Chemical Substances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TSCA - United States Toxic Substances Control Act Section 8(b) Inventory CEPA - Canadian Environmental Protection Act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EPA - Environmental Protection Agency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OSHA - Occupational Safety and Health Administration of the US Department of Labor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IATA - International Air Transport Association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DOT - Department of Transportation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IMDG - International Maritime Dangerous Goods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ACGIH - American Conference of Governmental Industrial Hygienists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NIOSH - National Institute for Occupational Safety and Health AIHA - American Industrial Hygiene Association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HMIS - Department of Defense Hazardous Materials Information System </w:t>
      </w: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 xml:space="preserve">NTP - National Toxicology Program </w:t>
      </w:r>
    </w:p>
    <w:p>
      <w:pPr>
        <w:tabs>
          <w:tab w:val="left" w:pos="2217"/>
        </w:tabs>
        <w:bidi w:val="0"/>
        <w:jc w:val="both"/>
        <w:rPr>
          <w:rFonts w:hint="default" w:ascii="Cambria" w:hAnsi="Cambria" w:eastAsia="宋体" w:cs="Cambria"/>
          <w:sz w:val="18"/>
          <w:szCs w:val="18"/>
          <w:lang w:val="en-US" w:eastAsia="zh-CN"/>
        </w:rPr>
      </w:pPr>
      <w:r>
        <w:rPr>
          <w:rFonts w:hint="default" w:ascii="Cambria" w:hAnsi="Cambria" w:eastAsia="宋体" w:cs="Cambria"/>
          <w:sz w:val="18"/>
          <w:szCs w:val="18"/>
        </w:rPr>
        <w:t>IARC - International Agency for Research on Cance</w:t>
      </w:r>
      <w:r>
        <w:rPr>
          <w:rFonts w:hint="default" w:ascii="Cambria" w:hAnsi="Cambria" w:eastAsia="宋体" w:cs="Cambria"/>
          <w:sz w:val="18"/>
          <w:szCs w:val="18"/>
          <w:lang w:val="en-US" w:eastAsia="zh-CN"/>
        </w:rPr>
        <w:t>r</w:t>
      </w:r>
    </w:p>
    <w:p>
      <w:pPr>
        <w:tabs>
          <w:tab w:val="left" w:pos="2217"/>
        </w:tabs>
        <w:bidi w:val="0"/>
        <w:jc w:val="both"/>
        <w:rPr>
          <w:rFonts w:hint="default" w:ascii="Cambria" w:hAnsi="Cambria" w:eastAsia="宋体" w:cs="Cambria"/>
          <w:sz w:val="18"/>
          <w:szCs w:val="18"/>
          <w:lang w:val="en-US" w:eastAsia="zh-CN"/>
        </w:rPr>
      </w:pPr>
    </w:p>
    <w:p>
      <w:pPr>
        <w:tabs>
          <w:tab w:val="left" w:pos="2217"/>
        </w:tabs>
        <w:bidi w:val="0"/>
        <w:jc w:val="both"/>
        <w:rPr>
          <w:rFonts w:hint="default" w:ascii="Cambria" w:hAnsi="Cambria" w:eastAsia="宋体" w:cs="Cambria"/>
          <w:sz w:val="18"/>
          <w:szCs w:val="18"/>
          <w:lang w:val="en-US" w:eastAsia="zh-CN"/>
        </w:rPr>
      </w:pP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The above information was acquired by diligent search and/or investigation and the recommendations are based on prudent application of professional judgment. The information shall not be taken as being all inclusive and is to be used only as a guide. All materials and mixtures may present unknown hazards and should be used with caution. Since the Company cannot control the actual methods, volumes, or conditions of use, the Company shall not be held liable for any damages or losses resulting from the handling or from contact with the product as described herein.</w:t>
      </w:r>
    </w:p>
    <w:p>
      <w:pPr>
        <w:tabs>
          <w:tab w:val="left" w:pos="2217"/>
        </w:tabs>
        <w:bidi w:val="0"/>
        <w:jc w:val="both"/>
        <w:rPr>
          <w:rFonts w:hint="default" w:ascii="Cambria" w:hAnsi="Cambria" w:eastAsia="宋体" w:cs="Cambria"/>
          <w:sz w:val="18"/>
          <w:szCs w:val="18"/>
        </w:rPr>
      </w:pPr>
    </w:p>
    <w:p>
      <w:pPr>
        <w:tabs>
          <w:tab w:val="left" w:pos="2217"/>
        </w:tabs>
        <w:bidi w:val="0"/>
        <w:jc w:val="both"/>
        <w:rPr>
          <w:rFonts w:hint="default" w:ascii="Cambria" w:hAnsi="Cambria" w:eastAsia="宋体" w:cs="Cambria"/>
          <w:sz w:val="18"/>
          <w:szCs w:val="18"/>
        </w:rPr>
      </w:pPr>
      <w:r>
        <w:rPr>
          <w:rFonts w:hint="default" w:ascii="Cambria" w:hAnsi="Cambria" w:eastAsia="宋体" w:cs="Cambria"/>
          <w:sz w:val="18"/>
          <w:szCs w:val="18"/>
        </w:rPr>
        <w:t>THE INFORMATION IN THIS SDS DOES NOT CONSTITUTE A WARRANTY, EXPRESSED OR IMPLIED,INCLUDING ANY IMPLIED WARRANTY OF MERCHANTABILITY OR FITNESS FOR ANY PARTICULAR PURPOSE</w:t>
      </w:r>
    </w:p>
    <w:p>
      <w:pPr>
        <w:tabs>
          <w:tab w:val="left" w:pos="2217"/>
        </w:tabs>
        <w:bidi w:val="0"/>
        <w:jc w:val="both"/>
        <w:rPr>
          <w:rFonts w:hint="default" w:ascii="Cambria" w:hAnsi="Cambria" w:eastAsia="宋体" w:cs="Cambria"/>
          <w:sz w:val="18"/>
          <w:szCs w:val="18"/>
        </w:rPr>
      </w:pPr>
    </w:p>
    <w:p>
      <w:pPr>
        <w:tabs>
          <w:tab w:val="left" w:pos="2217"/>
        </w:tabs>
        <w:bidi w:val="0"/>
        <w:jc w:val="center"/>
        <w:rPr>
          <w:rFonts w:hint="default" w:ascii="Cambria" w:hAnsi="Cambria" w:eastAsia="宋体" w:cs="Cambria"/>
          <w:b/>
          <w:bCs/>
          <w:color w:val="851321" w:themeColor="accent6" w:themeShade="80"/>
          <w:sz w:val="18"/>
          <w:szCs w:val="18"/>
          <w:lang w:val="en-US" w:eastAsia="zh-CN"/>
        </w:rPr>
      </w:pPr>
      <w:r>
        <w:rPr>
          <w:rFonts w:hint="default" w:ascii="Cambria" w:hAnsi="Cambria" w:eastAsia="宋体" w:cs="Cambria"/>
          <w:b/>
          <w:bCs/>
          <w:color w:val="851321" w:themeColor="accent6" w:themeShade="80"/>
          <w:sz w:val="18"/>
          <w:szCs w:val="18"/>
        </w:rPr>
        <w:t>End of</w:t>
      </w:r>
      <w:r>
        <w:rPr>
          <w:rFonts w:hint="eastAsia" w:ascii="Cambria" w:hAnsi="Cambria" w:eastAsia="宋体" w:cs="Cambria"/>
          <w:b/>
          <w:bCs/>
          <w:color w:val="851321" w:themeColor="accent6" w:themeShade="80"/>
          <w:sz w:val="18"/>
          <w:szCs w:val="18"/>
          <w:lang w:val="en-US" w:eastAsia="zh-CN"/>
        </w:rPr>
        <w:t xml:space="preserve"> </w:t>
      </w:r>
      <w:r>
        <w:rPr>
          <w:rFonts w:hint="default" w:ascii="Cambria" w:hAnsi="Cambria" w:eastAsia="宋体" w:cs="Cambria"/>
          <w:b/>
          <w:bCs/>
          <w:color w:val="851321" w:themeColor="accent6" w:themeShade="80"/>
          <w:sz w:val="18"/>
          <w:szCs w:val="18"/>
        </w:rPr>
        <w:t>Safety Data Sheet</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0ODQ1ZDVlNmU2NjJiZDhjODdiMjdhYmRlNTQ1MmEifQ=="/>
  </w:docVars>
  <w:rsids>
    <w:rsidRoot w:val="543B0B27"/>
    <w:rsid w:val="024141DC"/>
    <w:rsid w:val="08F17FDE"/>
    <w:rsid w:val="0DF91E0E"/>
    <w:rsid w:val="105477D0"/>
    <w:rsid w:val="11A958FA"/>
    <w:rsid w:val="147A357D"/>
    <w:rsid w:val="15451DDD"/>
    <w:rsid w:val="15FB0E1F"/>
    <w:rsid w:val="17FE5A6A"/>
    <w:rsid w:val="18F97167"/>
    <w:rsid w:val="1C4C57FF"/>
    <w:rsid w:val="1CF245F9"/>
    <w:rsid w:val="1D2A34AD"/>
    <w:rsid w:val="1D383FD6"/>
    <w:rsid w:val="1D990F18"/>
    <w:rsid w:val="1E6F3A27"/>
    <w:rsid w:val="22EF5136"/>
    <w:rsid w:val="252F3F10"/>
    <w:rsid w:val="25C44658"/>
    <w:rsid w:val="2C33078A"/>
    <w:rsid w:val="2DAA1B0D"/>
    <w:rsid w:val="35BB1B4B"/>
    <w:rsid w:val="40C8249A"/>
    <w:rsid w:val="471278ED"/>
    <w:rsid w:val="490C7F41"/>
    <w:rsid w:val="4961028C"/>
    <w:rsid w:val="4B6610CB"/>
    <w:rsid w:val="5119144D"/>
    <w:rsid w:val="543B0B27"/>
    <w:rsid w:val="55A51501"/>
    <w:rsid w:val="57042A35"/>
    <w:rsid w:val="57B33B2B"/>
    <w:rsid w:val="583152CE"/>
    <w:rsid w:val="585B059D"/>
    <w:rsid w:val="60D84E80"/>
    <w:rsid w:val="6B342C08"/>
    <w:rsid w:val="6E494CC8"/>
    <w:rsid w:val="6FB6638D"/>
    <w:rsid w:val="6FDD7DBD"/>
    <w:rsid w:val="72124DC0"/>
    <w:rsid w:val="75920B73"/>
    <w:rsid w:val="775F34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2024-03-05T09:53:00Z</dcterms:created>
  <dc:creator>八九</dc:creator>
  <cp:lastModifiedBy>八九</cp:lastModifiedBy>
  <dcterms:modified xsi:type="dcterms:W3CDTF">2024-03-18T02:21:50Z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0527F3DA02114EC487674E491921FE09_13</vt:lpwstr>
  </property>
</Properties>
</file>