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Cambria" w:hAnsi="Cambria" w:cs="Cambria"/>
          <w:b/>
          <w:bCs/>
          <w:color w:val="851321" w:themeColor="accent6" w:themeShade="80"/>
          <w:sz w:val="44"/>
          <w:szCs w:val="44"/>
        </w:rPr>
      </w:pPr>
      <w:r>
        <w:rPr>
          <w:rFonts w:hint="default" w:ascii="Cambria" w:hAnsi="Cambria" w:cs="Cambria"/>
          <w:b/>
          <w:bCs/>
          <w:color w:val="851321" w:themeColor="accent6" w:themeShade="80"/>
          <w:sz w:val="44"/>
          <w:szCs w:val="44"/>
        </w:rPr>
        <w:t>Good laboratory practices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Times New Roman" w:hAnsi="Times New Roman" w:eastAsia="HelveticaNeueLTW1G-Md" w:cs="Times New Roman"/>
          <w:b/>
          <w:bCs/>
          <w:color w:val="851321" w:themeColor="accent6" w:themeShade="8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HelveticaNeueLTW1G-Md" w:cs="Times New Roman"/>
          <w:b/>
          <w:bCs/>
          <w:color w:val="851321" w:themeColor="accent6" w:themeShade="80"/>
          <w:kern w:val="0"/>
          <w:sz w:val="28"/>
          <w:szCs w:val="28"/>
          <w:highlight w:val="none"/>
          <w:lang w:val="en-US" w:eastAsia="zh-CN" w:bidi="ar"/>
        </w:rPr>
        <w:t>Before You Begin</w:t>
      </w:r>
      <w:r>
        <w:rPr>
          <w:rFonts w:hint="eastAsia" w:ascii="Times New Roman" w:hAnsi="Times New Roman" w:eastAsia="HelveticaNeueLTW1G-Md" w:cs="Times New Roman"/>
          <w:b/>
          <w:bCs/>
          <w:color w:val="851321" w:themeColor="accent6" w:themeShade="80"/>
          <w:kern w:val="0"/>
          <w:sz w:val="28"/>
          <w:szCs w:val="28"/>
          <w:lang w:val="en-US" w:eastAsia="zh-CN" w:bidi="ar"/>
        </w:rPr>
        <w:t xml:space="preserve"> Good laboratory practices for PCR and RT-PCR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Cambria" w:hAnsi="Cambria" w:cs="Cambria"/>
          <w:sz w:val="24"/>
          <w:szCs w:val="24"/>
        </w:rPr>
      </w:pPr>
      <w:r>
        <w:rPr>
          <w:rFonts w:hint="default" w:ascii="Cambria" w:hAnsi="Cambria" w:eastAsia="HelveticaNeueLTW1G-Md" w:cs="Cambria"/>
          <w:b/>
          <w:bCs/>
          <w:color w:val="851321" w:themeColor="accent6" w:themeShade="80"/>
          <w:kern w:val="0"/>
          <w:sz w:val="28"/>
          <w:szCs w:val="28"/>
          <w:lang w:val="en-US" w:eastAsia="zh-CN" w:bidi="ar"/>
        </w:rPr>
        <w:t>Precautions：</w:t>
      </w:r>
      <w:r>
        <w:rPr>
          <w:rFonts w:hint="default" w:ascii="Cambria" w:hAnsi="Cambria" w:cs="Cambria"/>
          <w:sz w:val="24"/>
          <w:szCs w:val="24"/>
        </w:rPr>
        <w:t>To avoid contamination, perform the workflow setup under</w:t>
      </w:r>
      <w:r>
        <w:rPr>
          <w:rFonts w:hint="eastAsia" w:ascii="Cambria" w:hAnsi="Cambria" w:cs="Cambria"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cs="Cambria"/>
          <w:sz w:val="24"/>
          <w:szCs w:val="24"/>
        </w:rPr>
        <w:t>DNA-free conditions. This includes:</w:t>
      </w:r>
    </w:p>
    <w:p>
      <w:pPr>
        <w:pStyle w:val="2"/>
        <w:numPr>
          <w:ilvl w:val="0"/>
          <w:numId w:val="2"/>
        </w:numPr>
        <w:bidi w:val="0"/>
        <w:ind w:left="0" w:leftChars="0" w:firstLine="0" w:firstLineChars="0"/>
        <w:rPr>
          <w:rFonts w:hint="default" w:ascii="Cambria" w:hAnsi="Cambria" w:eastAsia="Calibri" w:cs="Cambria"/>
          <w:kern w:val="2"/>
          <w:sz w:val="24"/>
          <w:szCs w:val="24"/>
          <w:lang w:val="en-US" w:eastAsia="en-US" w:bidi="ar-SA"/>
        </w:rPr>
      </w:pPr>
      <w:r>
        <w:rPr>
          <w:rFonts w:hint="default" w:ascii="Cambria" w:hAnsi="Cambria" w:cs="Cambria"/>
          <w:sz w:val="24"/>
          <w:szCs w:val="24"/>
        </w:rPr>
        <w:t>Prepare and pipette all solutions with nuclease-free, DNA-free equipment and consumables.</w:t>
      </w:r>
    </w:p>
    <w:p>
      <w:pPr>
        <w:pStyle w:val="2"/>
        <w:numPr>
          <w:ilvl w:val="0"/>
          <w:numId w:val="2"/>
        </w:numPr>
        <w:bidi w:val="0"/>
        <w:ind w:left="0" w:leftChars="0" w:firstLine="0" w:firstLineChars="0"/>
        <w:rPr>
          <w:rFonts w:hint="default" w:ascii="Cambria" w:hAnsi="Cambria" w:eastAsia="Calibri" w:cs="Cambria"/>
          <w:kern w:val="2"/>
          <w:sz w:val="24"/>
          <w:szCs w:val="24"/>
          <w:lang w:val="en-US" w:eastAsia="en-US" w:bidi="ar-SA"/>
        </w:rPr>
      </w:pPr>
      <w:r>
        <w:rPr>
          <w:rFonts w:hint="default" w:ascii="Cambria" w:hAnsi="Cambria" w:cs="Cambria"/>
          <w:sz w:val="24"/>
          <w:szCs w:val="24"/>
        </w:rPr>
        <w:t>UV-treat</w:t>
      </w:r>
      <w:r>
        <w:rPr>
          <w:rFonts w:hint="eastAsia" w:ascii="Cambria" w:hAnsi="Cambria" w:eastAsia="宋体" w:cs="Cambria"/>
          <w:sz w:val="24"/>
          <w:szCs w:val="24"/>
          <w:lang w:val="en-US" w:eastAsia="zh-CN"/>
        </w:rPr>
        <w:t xml:space="preserve"> or </w:t>
      </w:r>
      <w:r>
        <w:rPr>
          <w:rFonts w:hint="default" w:ascii="Cambria" w:hAnsi="Cambria" w:cs="Cambria"/>
          <w:sz w:val="24"/>
          <w:szCs w:val="24"/>
        </w:rPr>
        <w:t>the laminar flow hood prior to pipetting.</w:t>
      </w:r>
      <w:r>
        <w:rPr>
          <w:rFonts w:hint="eastAsia" w:ascii="Cambria" w:hAnsi="Cambria" w:eastAsia="宋体" w:cs="Cambria"/>
          <w:sz w:val="24"/>
          <w:szCs w:val="24"/>
          <w:lang w:val="en-US" w:eastAsia="zh-CN"/>
        </w:rPr>
        <w:t xml:space="preserve"> </w:t>
      </w:r>
    </w:p>
    <w:p>
      <w:pPr>
        <w:pStyle w:val="2"/>
        <w:numPr>
          <w:ilvl w:val="0"/>
          <w:numId w:val="2"/>
        </w:numPr>
        <w:bidi w:val="0"/>
        <w:ind w:left="0" w:leftChars="0" w:firstLine="0" w:firstLineChars="0"/>
        <w:rPr>
          <w:rFonts w:hint="default" w:ascii="Cambria" w:hAnsi="Cambria" w:cs="Cambria"/>
          <w:sz w:val="24"/>
          <w:szCs w:val="24"/>
        </w:rPr>
      </w:pPr>
      <w:r>
        <w:rPr>
          <w:rFonts w:hint="default" w:ascii="Cambria" w:hAnsi="Cambria" w:cs="Cambria"/>
          <w:sz w:val="24"/>
          <w:szCs w:val="24"/>
        </w:rPr>
        <w:t>Use sterile single-use gloves and freshly laundered laboratory coats.</w:t>
      </w:r>
      <w:r>
        <w:rPr>
          <w:rFonts w:hint="eastAsia" w:ascii="Cambria" w:hAnsi="Cambria" w:cs="Cambria"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cs="Cambria"/>
          <w:sz w:val="24"/>
          <w:szCs w:val="24"/>
        </w:rPr>
        <w:t>Change gloves if you suspect that they are contaminated.</w:t>
      </w:r>
    </w:p>
    <w:p>
      <w:pPr>
        <w:pStyle w:val="2"/>
        <w:numPr>
          <w:ilvl w:val="0"/>
          <w:numId w:val="2"/>
        </w:numPr>
        <w:bidi w:val="0"/>
        <w:ind w:left="420" w:leftChars="0" w:hanging="420" w:firstLineChars="0"/>
        <w:rPr>
          <w:rFonts w:hint="default" w:ascii="Cambria" w:hAnsi="Cambria" w:cs="Cambria"/>
          <w:sz w:val="24"/>
          <w:szCs w:val="24"/>
        </w:rPr>
      </w:pPr>
      <w:r>
        <w:rPr>
          <w:rFonts w:hint="default" w:ascii="Cambria" w:hAnsi="Cambria" w:cs="Cambria"/>
          <w:sz w:val="24"/>
          <w:szCs w:val="24"/>
        </w:rPr>
        <w:t>Close vials immediately after pipetting.</w:t>
      </w:r>
      <w:r>
        <w:rPr>
          <w:rFonts w:hint="eastAsia" w:ascii="Cambria" w:hAnsi="Cambria" w:eastAsia="宋体" w:cs="Cambria"/>
          <w:sz w:val="24"/>
          <w:szCs w:val="24"/>
          <w:lang w:val="en-US" w:eastAsia="zh-CN"/>
        </w:rPr>
        <w:t xml:space="preserve"> </w:t>
      </w:r>
      <w:r>
        <w:rPr>
          <w:rFonts w:hint="default" w:ascii="Cambria" w:hAnsi="Cambria" w:cs="Cambria"/>
          <w:sz w:val="24"/>
          <w:szCs w:val="24"/>
        </w:rPr>
        <w:t>Avoid splashing or spraying samples.</w:t>
      </w:r>
    </w:p>
    <w:p>
      <w:pPr>
        <w:pStyle w:val="2"/>
        <w:numPr>
          <w:ilvl w:val="0"/>
          <w:numId w:val="2"/>
        </w:numPr>
        <w:bidi w:val="0"/>
        <w:ind w:left="420" w:leftChars="0" w:hanging="420" w:firstLineChars="0"/>
        <w:rPr>
          <w:rFonts w:hint="default" w:ascii="Cambria" w:hAnsi="Cambria" w:cs="Cambria"/>
          <w:sz w:val="24"/>
          <w:szCs w:val="24"/>
        </w:rPr>
      </w:pPr>
      <w:r>
        <w:rPr>
          <w:rFonts w:hint="default" w:ascii="Cambria" w:hAnsi="Cambria" w:cs="Cambria"/>
          <w:sz w:val="24"/>
          <w:szCs w:val="24"/>
        </w:rPr>
        <w:t>Spatial segregation of the sequential workflow steps.</w:t>
      </w:r>
    </w:p>
    <w:tbl>
      <w:tblPr>
        <w:tblStyle w:val="3"/>
        <w:tblW w:w="9029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9"/>
        <w:gridCol w:w="5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9" w:type="dxa"/>
            <w:tcBorders>
              <w:top w:val="double" w:color="000000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841320" w:themeFill="accent6" w:themeFillShade="7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Cambria" w:cs="Cambria"/>
                <w:b/>
                <w:bCs/>
                <w:i w:val="0"/>
                <w:iCs w:val="0"/>
                <w:color w:val="FFFFFF" w:themeColor="background1"/>
                <w:sz w:val="18"/>
                <w:szCs w:val="18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mbria" w:hAnsi="Cambria" w:eastAsia="宋体" w:cs="Cambria"/>
                <w:b/>
                <w:bCs/>
                <w:i w:val="0"/>
                <w:iCs w:val="0"/>
                <w:color w:val="FFFFFF" w:themeColor="background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Rooms</w:t>
            </w:r>
          </w:p>
        </w:tc>
        <w:tc>
          <w:tcPr>
            <w:tcW w:w="5940" w:type="dxa"/>
            <w:tcBorders>
              <w:top w:val="double" w:color="000000" w:sz="12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841320" w:themeFill="accent6" w:themeFillShade="7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b/>
                <w:bCs/>
                <w:i w:val="0"/>
                <w:iCs w:val="0"/>
                <w:color w:val="FFFFFF" w:themeColor="background1"/>
                <w:sz w:val="22"/>
                <w:szCs w:val="22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mbria" w:hAnsi="Cambria" w:eastAsia="宋体" w:cs="Cambria"/>
                <w:b/>
                <w:bCs/>
                <w:i w:val="0"/>
                <w:iCs w:val="0"/>
                <w:color w:val="FFFFFF" w:themeColor="background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Workflow Step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Sample preparation room 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Extraction and purification of test samples,including preparation of recovery control sample.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Master mix preparation room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Master mix preparation and pipetting of PCR Negative Control to the NTC wells.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3089" w:type="dxa"/>
            <w:tcBorders>
              <w:top w:val="single" w:color="auto" w:sz="4" w:space="0"/>
              <w:left w:val="nil"/>
              <w:bottom w:val="double" w:color="000000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PCR room for setup and amplification run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doub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mbria" w:hAnsi="Cambria" w:eastAsia="宋体" w:cs="Cambr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Dilution and pipetting of samples and PCR Positive Control to the PCR plate.</w:t>
            </w: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Cambria" w:hAnsi="Cambria" w:eastAsia="宋体" w:cs="Cambr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Running the PCR Instrument.</w:t>
            </w:r>
          </w:p>
        </w:tc>
      </w:tr>
    </w:tbl>
    <w:p>
      <w:pPr>
        <w:rPr>
          <w:rFonts w:hint="default" w:ascii="Cambria" w:hAnsi="Cambria" w:cs="Cambria"/>
          <w:color w:val="auto"/>
        </w:rPr>
      </w:pPr>
    </w:p>
    <w:tbl>
      <w:tblPr>
        <w:tblStyle w:val="4"/>
        <w:tblW w:w="8960" w:type="dxa"/>
        <w:tblInd w:w="0" w:type="dxa"/>
        <w:tblBorders>
          <w:top w:val="single" w:color="auto" w:sz="4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8960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mbria" w:hAnsi="Cambria" w:eastAsia="HelveticaNeueLTW1G-Md" w:cs="Cambria"/>
                <w:b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bookmarkStart w:id="0" w:name="OLE_LINK25"/>
            <w:r>
              <w:rPr>
                <w:rFonts w:hint="eastAsia" w:ascii="Cambria" w:hAnsi="Cambria" w:eastAsia="HelveticaNeueLTW1G-Md" w:cs="Cambria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Note：</w:t>
            </w:r>
            <w:r>
              <w:rPr>
                <w:rFonts w:hint="default" w:ascii="Cambria" w:hAnsi="Cambria" w:eastAsia="HelveticaNeueLTW1G-Md" w:cs="Cambria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Do not use disinfectants during </w:t>
            </w:r>
            <w:r>
              <w:rPr>
                <w:rFonts w:hint="eastAsia" w:ascii="Cambria" w:hAnsi="Cambria" w:eastAsia="HelveticaNeueLTW1G-Md" w:cs="Cambria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Sample preparation </w:t>
            </w:r>
            <w:r>
              <w:rPr>
                <w:rFonts w:hint="default" w:ascii="Cambria" w:hAnsi="Cambria" w:eastAsia="HelveticaNeueLTW1G-Md" w:cs="Cambria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experiments so as not to affect the results.</w:t>
            </w:r>
          </w:p>
        </w:tc>
      </w:tr>
      <w:bookmarkEnd w:id="0"/>
    </w:tbl>
    <w:p>
      <w:pPr>
        <w:rPr>
          <w:rFonts w:hint="default" w:ascii="Cambria" w:hAnsi="Cambria" w:cs="Cambria"/>
          <w:color w:val="auto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 w:ascii="Times New Roman" w:hAnsi="Times New Roman" w:eastAsia="HelveticaNeueLTW1G-Md" w:cs="Times New Roman"/>
          <w:b/>
          <w:bCs/>
          <w:color w:val="851321" w:themeColor="accent6" w:themeShade="8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HelveticaNeueLTW1G-Md" w:cs="Times New Roman"/>
          <w:b/>
          <w:bCs/>
          <w:color w:val="851321" w:themeColor="accent6" w:themeShade="80"/>
          <w:kern w:val="0"/>
          <w:sz w:val="28"/>
          <w:szCs w:val="28"/>
          <w:lang w:val="en-US" w:eastAsia="zh-CN" w:bidi="ar"/>
        </w:rPr>
        <w:t>Avoiding false positives due to cross-contamination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>To avoid false positives due to cross-contamination: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 xml:space="preserve">• </w:t>
      </w:r>
      <w:r>
        <w:rPr>
          <w:rFonts w:hint="default" w:ascii="Cambria" w:hAnsi="Cambria" w:cs="Cambria"/>
          <w:color w:val="auto"/>
          <w:lang w:val="en-US" w:eastAsia="en-US"/>
        </w:rPr>
        <w:t xml:space="preserve">Use a positive-displacement pipettor or </w:t>
      </w:r>
      <w:bookmarkStart w:id="2" w:name="_GoBack"/>
      <w:bookmarkEnd w:id="2"/>
      <w:r>
        <w:rPr>
          <w:rFonts w:hint="default" w:ascii="Cambria" w:hAnsi="Cambria" w:cs="Cambria"/>
          <w:color w:val="auto"/>
          <w:lang w:val="en-US" w:eastAsia="en-US"/>
        </w:rPr>
        <w:t>aerosol‑resistant barrier pipette tips.</w:t>
      </w:r>
    </w:p>
    <w:p>
      <w:pPr>
        <w:rPr>
          <w:rFonts w:hint="default" w:ascii="Cambria" w:hAnsi="Cambria" w:cs="Cambria"/>
          <w:color w:val="auto"/>
        </w:rPr>
      </w:pPr>
      <w:bookmarkStart w:id="1" w:name="OLE_LINK4"/>
      <w:r>
        <w:rPr>
          <w:rFonts w:hint="default" w:ascii="Cambria" w:hAnsi="Cambria" w:cs="Cambria"/>
          <w:color w:val="auto"/>
        </w:rPr>
        <w:t xml:space="preserve">• </w:t>
      </w:r>
      <w:bookmarkEnd w:id="1"/>
      <w:r>
        <w:rPr>
          <w:rFonts w:hint="default" w:ascii="Cambria" w:hAnsi="Cambria" w:cs="Cambria"/>
          <w:color w:val="auto"/>
        </w:rPr>
        <w:t>Prepare and close all negative control and unknown sample tubes before pipetting the positive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>control.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>• Do not open tubes after amplification.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>• Use different sets of pipettors when pipetting negative control, unknown, and positive control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>samples.</w:t>
      </w:r>
    </w:p>
    <w:p>
      <w:pPr>
        <w:rPr>
          <w:rFonts w:hint="default" w:ascii="Cambria" w:hAnsi="Cambria" w:cs="Cambria"/>
          <w:color w:val="auto"/>
        </w:rPr>
      </w:pPr>
      <w:r>
        <w:rPr>
          <w:rFonts w:hint="default" w:ascii="Cambria" w:hAnsi="Cambria" w:cs="Cambria"/>
          <w:color w:val="auto"/>
        </w:rPr>
        <w:t>• In the process of preparing the sample,</w:t>
      </w:r>
      <w:r>
        <w:rPr>
          <w:rFonts w:hint="eastAsia" w:ascii="Cambria" w:hAnsi="Cambria" w:cs="Cambria"/>
          <w:color w:val="auto"/>
          <w:lang w:val="en-US" w:eastAsia="zh-CN"/>
        </w:rPr>
        <w:t xml:space="preserve"> </w:t>
      </w:r>
      <w:r>
        <w:rPr>
          <w:rFonts w:hint="default" w:ascii="Cambria" w:hAnsi="Cambria" w:cs="Cambria"/>
          <w:color w:val="auto"/>
        </w:rPr>
        <w:t xml:space="preserve">dispense </w:t>
      </w:r>
      <w:r>
        <w:rPr>
          <w:rFonts w:hint="eastAsia" w:ascii="Cambria" w:hAnsi="Cambria" w:cs="Cambria"/>
          <w:color w:val="auto"/>
          <w:lang w:val="en-US" w:eastAsia="zh-CN"/>
        </w:rPr>
        <w:t xml:space="preserve">tubes </w:t>
      </w:r>
      <w:r>
        <w:rPr>
          <w:rFonts w:hint="default" w:ascii="Cambria" w:hAnsi="Cambria" w:cs="Cambria"/>
          <w:color w:val="auto"/>
        </w:rPr>
        <w:t>in sequence from left to right the: negative controls, unknown</w:t>
      </w:r>
      <w:r>
        <w:rPr>
          <w:rFonts w:hint="eastAsia" w:ascii="Cambria" w:hAnsi="Cambria" w:cs="Cambria"/>
          <w:color w:val="auto"/>
          <w:lang w:val="en-US" w:eastAsia="zh-CN"/>
        </w:rPr>
        <w:t xml:space="preserve"> </w:t>
      </w:r>
      <w:r>
        <w:rPr>
          <w:rFonts w:hint="default" w:ascii="Cambria" w:hAnsi="Cambria" w:cs="Cambria"/>
          <w:color w:val="auto"/>
        </w:rPr>
        <w:t>samples and ERCs, and positive controls .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NeueLTW1G-Md">
    <w:altName w:val="Segoe Print"/>
    <w:panose1 w:val="00000000000000000000"/>
    <w:charset w:val="A1"/>
    <w:family w:val="swiss"/>
    <w:pitch w:val="default"/>
    <w:sig w:usb0="00000000" w:usb1="00000000" w:usb2="00000000" w:usb3="00000000" w:csb0="00000008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3CB6D"/>
    <w:multiLevelType w:val="singleLevel"/>
    <w:tmpl w:val="3633CB6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8D96526"/>
    <w:multiLevelType w:val="singleLevel"/>
    <w:tmpl w:val="68D96526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ODQ1ZDVlNmU2NjJiZDhjODdiMjdhYmRlNTQ1MmEifQ=="/>
  </w:docVars>
  <w:rsids>
    <w:rsidRoot w:val="00172A27"/>
    <w:rsid w:val="4E5C4655"/>
    <w:rsid w:val="5251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Calibri" w:hAnsi="Calibri" w:eastAsia="Calibri" w:cs="Calibri"/>
      <w:sz w:val="18"/>
      <w:szCs w:val="18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2024-02-01T01:12:00Z</dcterms:created>
  <dc:creator>八九</dc:creator>
  <cp:lastModifiedBy>八九</cp:lastModifiedBy>
  <dcterms:modified xsi:type="dcterms:W3CDTF">2024-03-15T08:06:16Z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794B06F19AF64525BF1292914C48C4EC_11</vt:lpwstr>
  </property>
</Properties>
</file>